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footer8.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CB2356" w14:textId="40B068B3" w:rsidR="00E53D57" w:rsidRPr="00E53D57" w:rsidRDefault="00E53D57" w:rsidP="00E53D57">
      <w:pPr>
        <w:rPr>
          <w:b/>
          <w:bCs/>
        </w:rPr>
      </w:pPr>
      <w:r w:rsidRPr="00E53D57">
        <w:rPr>
          <w:b/>
          <w:bCs/>
        </w:rPr>
        <w:t>The Independent Expert Scientific Committee on Coal Seam Gas and Large Coal Mining Development (IESC) is seeking comment on the draft IESC Information Guidelines Explanatory Note: Characterisation and modelling of geological fault zones.</w:t>
      </w:r>
    </w:p>
    <w:p w14:paraId="2496D4C8" w14:textId="4AAD75FD" w:rsidR="00E53D57" w:rsidRPr="00E53D57" w:rsidRDefault="00E53D57" w:rsidP="00E53D57">
      <w:pPr>
        <w:rPr>
          <w:b/>
          <w:bCs/>
        </w:rPr>
      </w:pPr>
      <w:r w:rsidRPr="00E53D57">
        <w:rPr>
          <w:b/>
          <w:bCs/>
        </w:rPr>
        <w:t xml:space="preserve">The IESC notes the draft nature of the Explanatory Note and welcomes feedback on the content, </w:t>
      </w:r>
      <w:proofErr w:type="gramStart"/>
      <w:r w:rsidRPr="00E53D57">
        <w:rPr>
          <w:b/>
          <w:bCs/>
        </w:rPr>
        <w:t>usability</w:t>
      </w:r>
      <w:proofErr w:type="gramEnd"/>
      <w:r w:rsidRPr="00E53D57">
        <w:rPr>
          <w:b/>
          <w:bCs/>
        </w:rPr>
        <w:t xml:space="preserve"> and applicability. </w:t>
      </w:r>
      <w:proofErr w:type="gramStart"/>
      <w:r w:rsidRPr="00E53D57">
        <w:rPr>
          <w:b/>
          <w:bCs/>
        </w:rPr>
        <w:t>In particular, views</w:t>
      </w:r>
      <w:proofErr w:type="gramEnd"/>
      <w:r w:rsidRPr="00E53D57">
        <w:rPr>
          <w:b/>
          <w:bCs/>
        </w:rPr>
        <w:t xml:space="preserve"> are sought on:</w:t>
      </w:r>
    </w:p>
    <w:p w14:paraId="496DB5E7" w14:textId="3A70D83E" w:rsidR="00E53D57" w:rsidRPr="00E53D57" w:rsidRDefault="00E53D57" w:rsidP="00E53D57">
      <w:pPr>
        <w:rPr>
          <w:b/>
          <w:bCs/>
        </w:rPr>
      </w:pPr>
      <w:r w:rsidRPr="00E53D57">
        <w:rPr>
          <w:b/>
          <w:bCs/>
        </w:rPr>
        <w:t>•             the technical content within the draft Explanatory Note. Are there any areas that are missing or not captured adequately?</w:t>
      </w:r>
    </w:p>
    <w:p w14:paraId="10E83012" w14:textId="77777777" w:rsidR="00E53D57" w:rsidRPr="00E53D57" w:rsidRDefault="00E53D57" w:rsidP="00E53D57">
      <w:pPr>
        <w:rPr>
          <w:b/>
          <w:bCs/>
        </w:rPr>
      </w:pPr>
      <w:r w:rsidRPr="00E53D57">
        <w:rPr>
          <w:b/>
          <w:bCs/>
        </w:rPr>
        <w:t>•             the relevance to your specific area of work and any views on its uptake and adoption; and</w:t>
      </w:r>
    </w:p>
    <w:p w14:paraId="38E65BE1" w14:textId="25936B91" w:rsidR="00E53D57" w:rsidRDefault="00E53D57" w:rsidP="00E53D57">
      <w:pPr>
        <w:rPr>
          <w:b/>
          <w:bCs/>
        </w:rPr>
      </w:pPr>
      <w:r w:rsidRPr="00E53D57">
        <w:rPr>
          <w:b/>
          <w:bCs/>
        </w:rPr>
        <w:t>•             potential options to increase uptake and adoption.</w:t>
      </w:r>
    </w:p>
    <w:p w14:paraId="239255D8" w14:textId="77777777" w:rsidR="00FC6EB7" w:rsidRPr="00E53D57" w:rsidRDefault="00FC6EB7" w:rsidP="00E53D57">
      <w:pPr>
        <w:rPr>
          <w:b/>
          <w:bCs/>
        </w:rPr>
      </w:pPr>
    </w:p>
    <w:p w14:paraId="785F8FDD" w14:textId="77777777" w:rsidR="00E53D57" w:rsidRDefault="00E53D57" w:rsidP="00E53D57">
      <w:pPr>
        <w:rPr>
          <w:b/>
          <w:bCs/>
        </w:rPr>
      </w:pPr>
      <w:r>
        <w:rPr>
          <w:b/>
          <w:bCs/>
        </w:rPr>
        <w:t>The IESC and the Information Guidelines</w:t>
      </w:r>
    </w:p>
    <w:p w14:paraId="158CA789" w14:textId="050F698B" w:rsidR="00E53D57" w:rsidRPr="00E53D57" w:rsidRDefault="00E53D57" w:rsidP="00E53D57">
      <w:r>
        <w:t>The IESC is a statutory body under the Environment Protection and Biodiversity Conservation Act 1999 (</w:t>
      </w:r>
      <w:proofErr w:type="spellStart"/>
      <w:r>
        <w:t>Cth</w:t>
      </w:r>
      <w:proofErr w:type="spellEnd"/>
      <w:r>
        <w:t>). One of the IESC’s key legislative functions is to provide independent scientific advice to the Australian Government Environment Minister and relevant state ministers in relation to coal seam gas (CSG) and large coal mining (LCM) development proposals that are likely to have a significant impact on water resources.</w:t>
      </w:r>
    </w:p>
    <w:p w14:paraId="44ACC221" w14:textId="3FF413D7" w:rsidR="00E53D57" w:rsidRDefault="00E53D57" w:rsidP="00E53D57">
      <w:r>
        <w:t>The IESC Information Guidelines outline the information project proponents should provide to enable the IESC to provide robust scientific advice on the potential water-related impacts of CSG and LCM developments proposals. For some topics, Explanatory Notes have been written to supplement the IESC Information Guidelines, providing tailored guidance and up-to-date robust scientific methodologies and tools for specific components of Environmental Impact Assessments on coal seam gas and large coal mining developments. Case studies and practical examples of how to collect and present relevant information are also included.</w:t>
      </w:r>
    </w:p>
    <w:p w14:paraId="11A9E6D1" w14:textId="77777777" w:rsidR="00FC6EB7" w:rsidRDefault="00FC6EB7" w:rsidP="00E53D57"/>
    <w:p w14:paraId="4C136BA0" w14:textId="2022A87A" w:rsidR="00E53D57" w:rsidRDefault="00E53D57" w:rsidP="00E53D57">
      <w:pPr>
        <w:rPr>
          <w:b/>
          <w:bCs/>
        </w:rPr>
      </w:pPr>
      <w:r>
        <w:rPr>
          <w:b/>
          <w:bCs/>
        </w:rPr>
        <w:t>IESC Information Guidelines Explanatory Note: Characterisation and modelling of geological fault zones</w:t>
      </w:r>
    </w:p>
    <w:p w14:paraId="595C0E3A" w14:textId="3A322D3E" w:rsidR="00E53D57" w:rsidRDefault="00E53D57" w:rsidP="00E50CA4">
      <w:r>
        <w:t>The EPBC Act lists “a water resource, in relation to coal seam gas development and large coal mining development” as a matter of national environmental significance. A water resource is defined under the Water Act 2007 (</w:t>
      </w:r>
      <w:proofErr w:type="spellStart"/>
      <w:r>
        <w:t>Cth</w:t>
      </w:r>
      <w:proofErr w:type="spellEnd"/>
      <w:r>
        <w:t xml:space="preserve">). It covers surface water or groundwater or a watercourse, lake, </w:t>
      </w:r>
      <w:proofErr w:type="gramStart"/>
      <w:r>
        <w:t>wetland</w:t>
      </w:r>
      <w:proofErr w:type="gramEnd"/>
      <w:r>
        <w:t xml:space="preserve"> or aquifer (whether or not it currently has water in it) and includes all aspects of the water resource (including water, organisms and other components and ecosystems that contribute to the physical state and environmental value of the water resource</w:t>
      </w:r>
    </w:p>
    <w:p w14:paraId="7A42D531" w14:textId="7EA87BBD" w:rsidR="00E50CA4" w:rsidRDefault="00E53D57" w:rsidP="00E50CA4">
      <w:r>
        <w:t xml:space="preserve">The draft Explanatory Note </w:t>
      </w:r>
      <w:r w:rsidRPr="0024706E">
        <w:rPr>
          <w:lang w:val="en-US"/>
        </w:rPr>
        <w:t xml:space="preserve">is intended </w:t>
      </w:r>
      <w:r>
        <w:rPr>
          <w:lang w:val="en-US"/>
        </w:rPr>
        <w:t xml:space="preserve">to </w:t>
      </w:r>
      <w:r>
        <w:t>provide tools and methods to explain the range of approaches available to proponents to determine, at the highest level, the role faults may play in impeding or propagating pressure and groundwater flow impacts from proposed project developments. Proponents are encouraged to refer to specialised literature and engage with their relevant state regulation</w:t>
      </w:r>
    </w:p>
    <w:p w14:paraId="5FE7BC26" w14:textId="7A1514C5" w:rsidR="00E53D57" w:rsidRDefault="00E53D57" w:rsidP="00E50CA4">
      <w:pPr>
        <w:sectPr w:rsidR="00E53D57" w:rsidSect="00E53D57">
          <w:headerReference w:type="even" r:id="rId11"/>
          <w:headerReference w:type="default" r:id="rId12"/>
          <w:footerReference w:type="even" r:id="rId13"/>
          <w:footerReference w:type="default" r:id="rId14"/>
          <w:headerReference w:type="first" r:id="rId15"/>
          <w:pgSz w:w="11900" w:h="16840"/>
          <w:pgMar w:top="3663" w:right="1134" w:bottom="567" w:left="1134" w:header="1134" w:footer="567" w:gutter="0"/>
          <w:cols w:space="708"/>
          <w:vAlign w:val="center"/>
          <w:titlePg/>
          <w:docGrid w:linePitch="360"/>
        </w:sectPr>
      </w:pPr>
    </w:p>
    <w:p w14:paraId="1D4FBE13" w14:textId="58F3C4F4" w:rsidR="0041512B" w:rsidRPr="006F4023" w:rsidRDefault="00D91909" w:rsidP="0041512B">
      <w:pPr>
        <w:pStyle w:val="Covertitle"/>
        <w:rPr>
          <w:lang w:val="en-AU"/>
        </w:rPr>
      </w:pPr>
      <w:r w:rsidRPr="006F4023">
        <w:rPr>
          <w:lang w:val="en-AU"/>
        </w:rPr>
        <w:lastRenderedPageBreak/>
        <w:t>Information Guidelines Explanatory Note</w:t>
      </w:r>
    </w:p>
    <w:p w14:paraId="173B9BF9" w14:textId="77777777" w:rsidR="0041512B" w:rsidRPr="006F4023" w:rsidRDefault="00D91909" w:rsidP="0041512B">
      <w:pPr>
        <w:pStyle w:val="Coversubtitle"/>
        <w:rPr>
          <w:lang w:val="en-AU"/>
        </w:rPr>
      </w:pPr>
      <w:r w:rsidRPr="006F4023">
        <w:rPr>
          <w:rStyle w:val="SubtitleChar"/>
          <w:color w:val="AEAAAA" w:themeColor="background2" w:themeShade="BF"/>
          <w:lang w:val="en-AU"/>
        </w:rPr>
        <w:t xml:space="preserve">Characterisation and modelling of </w:t>
      </w:r>
      <w:r w:rsidR="00FE4A5E" w:rsidRPr="006F4023">
        <w:rPr>
          <w:rStyle w:val="SubtitleChar"/>
          <w:color w:val="AEAAAA" w:themeColor="background2" w:themeShade="BF"/>
          <w:lang w:val="en-AU"/>
        </w:rPr>
        <w:t>g</w:t>
      </w:r>
      <w:r w:rsidRPr="006F4023">
        <w:rPr>
          <w:rStyle w:val="SubtitleChar"/>
          <w:color w:val="AEAAAA" w:themeColor="background2" w:themeShade="BF"/>
          <w:lang w:val="en-AU"/>
        </w:rPr>
        <w:t xml:space="preserve">eological </w:t>
      </w:r>
      <w:r w:rsidR="00FE4A5E" w:rsidRPr="006F4023">
        <w:rPr>
          <w:rStyle w:val="SubtitleChar"/>
          <w:color w:val="AEAAAA" w:themeColor="background2" w:themeShade="BF"/>
          <w:lang w:val="en-AU"/>
        </w:rPr>
        <w:t>f</w:t>
      </w:r>
      <w:r w:rsidRPr="006F4023">
        <w:rPr>
          <w:rStyle w:val="SubtitleChar"/>
          <w:color w:val="AEAAAA" w:themeColor="background2" w:themeShade="BF"/>
          <w:lang w:val="en-AU"/>
        </w:rPr>
        <w:t xml:space="preserve">ault </w:t>
      </w:r>
      <w:r w:rsidR="00FE4A5E" w:rsidRPr="006F4023">
        <w:rPr>
          <w:rStyle w:val="SubtitleChar"/>
          <w:color w:val="AEAAAA" w:themeColor="background2" w:themeShade="BF"/>
          <w:lang w:val="en-AU"/>
        </w:rPr>
        <w:t>z</w:t>
      </w:r>
      <w:r w:rsidRPr="006F4023">
        <w:rPr>
          <w:rStyle w:val="SubtitleChar"/>
          <w:color w:val="AEAAAA" w:themeColor="background2" w:themeShade="BF"/>
          <w:lang w:val="en-AU"/>
        </w:rPr>
        <w:t>ones</w:t>
      </w:r>
    </w:p>
    <w:p w14:paraId="64DB545B" w14:textId="77777777" w:rsidR="00B24EF6" w:rsidRPr="006F4023" w:rsidRDefault="00B24EF6">
      <w:pPr>
        <w:sectPr w:rsidR="00B24EF6" w:rsidRPr="006F4023" w:rsidSect="0041512B">
          <w:headerReference w:type="even" r:id="rId16"/>
          <w:headerReference w:type="default" r:id="rId17"/>
          <w:headerReference w:type="first" r:id="rId18"/>
          <w:pgSz w:w="11900" w:h="16840"/>
          <w:pgMar w:top="3663" w:right="1134" w:bottom="10563" w:left="1134" w:header="1134" w:footer="709" w:gutter="0"/>
          <w:cols w:space="708"/>
          <w:vAlign w:val="center"/>
          <w:titlePg/>
          <w:docGrid w:linePitch="360"/>
        </w:sectPr>
      </w:pPr>
    </w:p>
    <w:p w14:paraId="4D400A0A" w14:textId="77777777" w:rsidR="00AF1674" w:rsidRPr="006F4023" w:rsidRDefault="00AF1674" w:rsidP="00AF1674">
      <w:pPr>
        <w:pStyle w:val="05BODYTEXT"/>
        <w:spacing w:after="57"/>
        <w:rPr>
          <w:rFonts w:ascii="Calibri" w:hAnsi="Calibri" w:cs="Calibri"/>
          <w:sz w:val="16"/>
          <w:szCs w:val="16"/>
          <w:lang w:val="en-AU"/>
        </w:rPr>
      </w:pPr>
      <w:r w:rsidRPr="006F4023">
        <w:rPr>
          <w:rFonts w:ascii="Calibri" w:hAnsi="Calibri" w:cs="Calibri"/>
          <w:sz w:val="16"/>
          <w:szCs w:val="16"/>
          <w:lang w:val="en-AU"/>
        </w:rPr>
        <w:lastRenderedPageBreak/>
        <w:t>© Commonwealth of Australia, 2018.</w:t>
      </w:r>
    </w:p>
    <w:p w14:paraId="2CCDF973" w14:textId="77777777" w:rsidR="00AF1674" w:rsidRPr="006F4023" w:rsidRDefault="00AF1674" w:rsidP="00AF1674">
      <w:pPr>
        <w:pStyle w:val="05BODYTEXT"/>
        <w:spacing w:before="300" w:after="57"/>
        <w:rPr>
          <w:rFonts w:ascii="Calibri" w:hAnsi="Calibri" w:cs="Calibri"/>
          <w:sz w:val="16"/>
          <w:szCs w:val="16"/>
          <w:lang w:val="en-AU"/>
        </w:rPr>
      </w:pPr>
      <w:r w:rsidRPr="006F4023">
        <w:rPr>
          <w:rFonts w:ascii="Calibri" w:hAnsi="Calibri" w:cs="Calibri"/>
          <w:noProof/>
          <w:sz w:val="16"/>
          <w:szCs w:val="16"/>
          <w:lang w:val="en-AU" w:eastAsia="en-AU"/>
        </w:rPr>
        <w:drawing>
          <wp:inline distT="0" distB="0" distL="0" distR="0" wp14:anchorId="573F7D99" wp14:editId="39C2301F">
            <wp:extent cx="1219200" cy="419100"/>
            <wp:effectExtent l="0" t="0" r="0" b="0"/>
            <wp:docPr id="8" name="Picture 8"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y_SKINNY.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19200" cy="419100"/>
                    </a:xfrm>
                    <a:prstGeom prst="rect">
                      <a:avLst/>
                    </a:prstGeom>
                  </pic:spPr>
                </pic:pic>
              </a:graphicData>
            </a:graphic>
          </wp:inline>
        </w:drawing>
      </w:r>
    </w:p>
    <w:p w14:paraId="74E7861E" w14:textId="6539223C" w:rsidR="00FC261A" w:rsidRPr="006F4023" w:rsidRDefault="00FC261A" w:rsidP="00FC261A">
      <w:pPr>
        <w:pStyle w:val="05BODYTEXT"/>
        <w:spacing w:before="227" w:after="57"/>
        <w:rPr>
          <w:rFonts w:asciiTheme="minorHAnsi" w:hAnsiTheme="minorHAnsi" w:cstheme="minorHAnsi"/>
          <w:sz w:val="16"/>
          <w:szCs w:val="16"/>
          <w:lang w:val="en-AU"/>
        </w:rPr>
      </w:pPr>
      <w:r w:rsidRPr="006F4023">
        <w:rPr>
          <w:rStyle w:val="ITALIC"/>
          <w:rFonts w:asciiTheme="minorHAnsi" w:hAnsiTheme="minorHAnsi" w:cstheme="minorHAnsi"/>
          <w:color w:val="000000" w:themeColor="text1"/>
          <w:sz w:val="16"/>
          <w:szCs w:val="16"/>
          <w:lang w:val="en-AU"/>
        </w:rPr>
        <w:t xml:space="preserve">Information Guidelines Explanatory Note – Characterisation and modelling of </w:t>
      </w:r>
      <w:r w:rsidR="00FE4A5E" w:rsidRPr="006F4023">
        <w:rPr>
          <w:rStyle w:val="ITALIC"/>
          <w:rFonts w:asciiTheme="minorHAnsi" w:hAnsiTheme="minorHAnsi" w:cstheme="minorHAnsi"/>
          <w:color w:val="000000" w:themeColor="text1"/>
          <w:sz w:val="16"/>
          <w:szCs w:val="16"/>
          <w:lang w:val="en-AU"/>
        </w:rPr>
        <w:t>g</w:t>
      </w:r>
      <w:r w:rsidRPr="006F4023">
        <w:rPr>
          <w:rStyle w:val="ITALIC"/>
          <w:rFonts w:asciiTheme="minorHAnsi" w:hAnsiTheme="minorHAnsi" w:cstheme="minorHAnsi"/>
          <w:color w:val="000000" w:themeColor="text1"/>
          <w:sz w:val="16"/>
          <w:szCs w:val="16"/>
          <w:lang w:val="en-AU"/>
        </w:rPr>
        <w:t xml:space="preserve">eological </w:t>
      </w:r>
      <w:r w:rsidR="00FE4A5E" w:rsidRPr="006F4023">
        <w:rPr>
          <w:rStyle w:val="ITALIC"/>
          <w:rFonts w:asciiTheme="minorHAnsi" w:hAnsiTheme="minorHAnsi" w:cstheme="minorHAnsi"/>
          <w:color w:val="000000" w:themeColor="text1"/>
          <w:sz w:val="16"/>
          <w:szCs w:val="16"/>
          <w:lang w:val="en-AU"/>
        </w:rPr>
        <w:t>f</w:t>
      </w:r>
      <w:r w:rsidRPr="006F4023">
        <w:rPr>
          <w:rStyle w:val="ITALIC"/>
          <w:rFonts w:asciiTheme="minorHAnsi" w:hAnsiTheme="minorHAnsi" w:cstheme="minorHAnsi"/>
          <w:color w:val="000000" w:themeColor="text1"/>
          <w:sz w:val="16"/>
          <w:szCs w:val="16"/>
          <w:lang w:val="en-AU"/>
        </w:rPr>
        <w:t xml:space="preserve">ault </w:t>
      </w:r>
      <w:r w:rsidR="00FE4A5E" w:rsidRPr="006F4023">
        <w:rPr>
          <w:rStyle w:val="ITALIC"/>
          <w:rFonts w:asciiTheme="minorHAnsi" w:hAnsiTheme="minorHAnsi" w:cstheme="minorHAnsi"/>
          <w:color w:val="000000" w:themeColor="text1"/>
          <w:sz w:val="16"/>
          <w:szCs w:val="16"/>
          <w:lang w:val="en-AU"/>
        </w:rPr>
        <w:t>z</w:t>
      </w:r>
      <w:r w:rsidRPr="006F4023">
        <w:rPr>
          <w:rStyle w:val="ITALIC"/>
          <w:rFonts w:asciiTheme="minorHAnsi" w:hAnsiTheme="minorHAnsi" w:cstheme="minorHAnsi"/>
          <w:color w:val="000000" w:themeColor="text1"/>
          <w:sz w:val="16"/>
          <w:szCs w:val="16"/>
          <w:lang w:val="en-AU"/>
        </w:rPr>
        <w:t xml:space="preserve">ones </w:t>
      </w:r>
      <w:r w:rsidRPr="006F4023">
        <w:rPr>
          <w:rFonts w:asciiTheme="minorHAnsi" w:hAnsiTheme="minorHAnsi" w:cstheme="minorHAnsi"/>
          <w:color w:val="000000" w:themeColor="text1"/>
          <w:sz w:val="16"/>
          <w:szCs w:val="16"/>
          <w:lang w:val="en-AU"/>
        </w:rPr>
        <w:t xml:space="preserve">is licensed by the </w:t>
      </w:r>
      <w:r w:rsidRPr="006F4023">
        <w:rPr>
          <w:rFonts w:asciiTheme="minorHAnsi" w:hAnsiTheme="minorHAnsi" w:cstheme="minorHAnsi"/>
          <w:sz w:val="16"/>
          <w:szCs w:val="16"/>
          <w:lang w:val="en-AU"/>
        </w:rPr>
        <w:t xml:space="preserve">Commonwealth of Australia for use under a Creative Commons Attribution 4.0 International license </w:t>
      </w:r>
      <w:proofErr w:type="gramStart"/>
      <w:r w:rsidRPr="006F4023">
        <w:rPr>
          <w:rFonts w:asciiTheme="minorHAnsi" w:hAnsiTheme="minorHAnsi" w:cstheme="minorHAnsi"/>
          <w:sz w:val="16"/>
          <w:szCs w:val="16"/>
          <w:lang w:val="en-AU"/>
        </w:rPr>
        <w:t>with the exception of</w:t>
      </w:r>
      <w:proofErr w:type="gramEnd"/>
      <w:r w:rsidRPr="006F4023">
        <w:rPr>
          <w:rFonts w:asciiTheme="minorHAnsi" w:hAnsiTheme="minorHAnsi" w:cstheme="minorHAnsi"/>
          <w:sz w:val="16"/>
          <w:szCs w:val="16"/>
          <w:lang w:val="en-AU"/>
        </w:rPr>
        <w:t xml:space="preserve"> the Coat of Arms of the Commonwealth of Australia, the logo of the agency responsible for publishing the report, content supplied by third parties, and any images depicting people. For license conditions see </w:t>
      </w:r>
      <w:hyperlink r:id="rId20" w:history="1">
        <w:r w:rsidRPr="006F4023">
          <w:rPr>
            <w:rStyle w:val="Hyperlink"/>
            <w:rFonts w:asciiTheme="minorHAnsi" w:hAnsiTheme="minorHAnsi" w:cstheme="minorHAnsi"/>
            <w:sz w:val="16"/>
            <w:szCs w:val="16"/>
            <w:lang w:val="en-AU"/>
          </w:rPr>
          <w:t>https://creativecommons.org/licenses/by/4.0/</w:t>
        </w:r>
      </w:hyperlink>
      <w:r w:rsidRPr="006F4023">
        <w:rPr>
          <w:rFonts w:asciiTheme="minorHAnsi" w:hAnsiTheme="minorHAnsi" w:cstheme="minorHAnsi"/>
          <w:sz w:val="16"/>
          <w:szCs w:val="16"/>
          <w:lang w:val="en-AU"/>
        </w:rPr>
        <w:t>.</w:t>
      </w:r>
    </w:p>
    <w:p w14:paraId="711128D4" w14:textId="2765704D" w:rsidR="00FC261A" w:rsidRPr="006F4023" w:rsidRDefault="00FC261A" w:rsidP="00FC261A">
      <w:pPr>
        <w:pStyle w:val="05BODYTEXT"/>
        <w:spacing w:after="57"/>
        <w:rPr>
          <w:rFonts w:asciiTheme="minorHAnsi" w:hAnsiTheme="minorHAnsi" w:cstheme="minorHAnsi"/>
          <w:sz w:val="16"/>
          <w:szCs w:val="16"/>
          <w:lang w:val="en-AU"/>
        </w:rPr>
      </w:pPr>
      <w:r w:rsidRPr="006F4023">
        <w:rPr>
          <w:rFonts w:asciiTheme="minorHAnsi" w:hAnsiTheme="minorHAnsi" w:cstheme="minorHAnsi"/>
          <w:sz w:val="16"/>
          <w:szCs w:val="16"/>
          <w:lang w:val="en-AU"/>
        </w:rPr>
        <w:t xml:space="preserve">This report should be attributed </w:t>
      </w:r>
      <w:r w:rsidRPr="006F4023">
        <w:rPr>
          <w:rFonts w:asciiTheme="minorHAnsi" w:hAnsiTheme="minorHAnsi" w:cstheme="minorHAnsi"/>
          <w:color w:val="000000" w:themeColor="text1"/>
          <w:sz w:val="16"/>
          <w:szCs w:val="16"/>
          <w:lang w:val="en-AU"/>
        </w:rPr>
        <w:t>as ‘Murray TA, Power WL 20</w:t>
      </w:r>
      <w:r w:rsidR="00C92074" w:rsidRPr="006F4023">
        <w:rPr>
          <w:rFonts w:asciiTheme="minorHAnsi" w:hAnsiTheme="minorHAnsi" w:cstheme="minorHAnsi"/>
          <w:color w:val="000000" w:themeColor="text1"/>
          <w:sz w:val="16"/>
          <w:szCs w:val="16"/>
          <w:lang w:val="en-AU"/>
        </w:rPr>
        <w:t>21</w:t>
      </w:r>
      <w:r w:rsidRPr="006F4023">
        <w:rPr>
          <w:rFonts w:asciiTheme="minorHAnsi" w:hAnsiTheme="minorHAnsi" w:cstheme="minorHAnsi"/>
          <w:color w:val="000000" w:themeColor="text1"/>
          <w:sz w:val="16"/>
          <w:szCs w:val="16"/>
          <w:lang w:val="en-AU"/>
        </w:rPr>
        <w:t xml:space="preserve">. </w:t>
      </w:r>
      <w:r w:rsidRPr="006F4023">
        <w:rPr>
          <w:rStyle w:val="ITALIC"/>
          <w:rFonts w:asciiTheme="minorHAnsi" w:hAnsiTheme="minorHAnsi" w:cstheme="minorHAnsi"/>
          <w:color w:val="000000" w:themeColor="text1"/>
          <w:sz w:val="16"/>
          <w:szCs w:val="16"/>
          <w:lang w:val="en-AU"/>
        </w:rPr>
        <w:t xml:space="preserve">Information Guidelines Explanatory Note: Characterisation and modelling of </w:t>
      </w:r>
      <w:r w:rsidR="00FE4A5E" w:rsidRPr="006F4023">
        <w:rPr>
          <w:rStyle w:val="ITALIC"/>
          <w:rFonts w:asciiTheme="minorHAnsi" w:hAnsiTheme="minorHAnsi" w:cstheme="minorHAnsi"/>
          <w:color w:val="000000" w:themeColor="text1"/>
          <w:sz w:val="16"/>
          <w:szCs w:val="16"/>
          <w:lang w:val="en-AU"/>
        </w:rPr>
        <w:t>g</w:t>
      </w:r>
      <w:r w:rsidRPr="006F4023">
        <w:rPr>
          <w:rStyle w:val="ITALIC"/>
          <w:rFonts w:asciiTheme="minorHAnsi" w:hAnsiTheme="minorHAnsi" w:cstheme="minorHAnsi"/>
          <w:color w:val="000000" w:themeColor="text1"/>
          <w:sz w:val="16"/>
          <w:szCs w:val="16"/>
          <w:lang w:val="en-AU"/>
        </w:rPr>
        <w:t xml:space="preserve">eological </w:t>
      </w:r>
      <w:r w:rsidR="00FE4A5E" w:rsidRPr="006F4023">
        <w:rPr>
          <w:rStyle w:val="ITALIC"/>
          <w:rFonts w:asciiTheme="minorHAnsi" w:hAnsiTheme="minorHAnsi" w:cstheme="minorHAnsi"/>
          <w:color w:val="000000" w:themeColor="text1"/>
          <w:sz w:val="16"/>
          <w:szCs w:val="16"/>
          <w:lang w:val="en-AU"/>
        </w:rPr>
        <w:t>f</w:t>
      </w:r>
      <w:r w:rsidRPr="006F4023">
        <w:rPr>
          <w:rStyle w:val="ITALIC"/>
          <w:rFonts w:asciiTheme="minorHAnsi" w:hAnsiTheme="minorHAnsi" w:cstheme="minorHAnsi"/>
          <w:color w:val="000000" w:themeColor="text1"/>
          <w:sz w:val="16"/>
          <w:szCs w:val="16"/>
          <w:lang w:val="en-AU"/>
        </w:rPr>
        <w:t xml:space="preserve">ault </w:t>
      </w:r>
      <w:r w:rsidR="00FE4A5E" w:rsidRPr="006F4023">
        <w:rPr>
          <w:rStyle w:val="ITALIC"/>
          <w:rFonts w:asciiTheme="minorHAnsi" w:hAnsiTheme="minorHAnsi" w:cstheme="minorHAnsi"/>
          <w:color w:val="000000" w:themeColor="text1"/>
          <w:sz w:val="16"/>
          <w:szCs w:val="16"/>
          <w:lang w:val="en-AU"/>
        </w:rPr>
        <w:t>z</w:t>
      </w:r>
      <w:r w:rsidRPr="006F4023">
        <w:rPr>
          <w:rStyle w:val="ITALIC"/>
          <w:rFonts w:asciiTheme="minorHAnsi" w:hAnsiTheme="minorHAnsi" w:cstheme="minorHAnsi"/>
          <w:color w:val="000000" w:themeColor="text1"/>
          <w:sz w:val="16"/>
          <w:szCs w:val="16"/>
          <w:lang w:val="en-AU"/>
        </w:rPr>
        <w:t>ones.</w:t>
      </w:r>
      <w:r w:rsidRPr="006F4023">
        <w:rPr>
          <w:rFonts w:asciiTheme="minorHAnsi" w:hAnsiTheme="minorHAnsi" w:cstheme="minorHAnsi"/>
          <w:color w:val="000000" w:themeColor="text1"/>
          <w:sz w:val="16"/>
          <w:szCs w:val="16"/>
          <w:lang w:val="en-AU"/>
        </w:rPr>
        <w:t xml:space="preserve"> Report prepared for the Independent Expert Scientific Committee on Coal Seam Gas and Large Coal Mining Development through the Department of Agriculture, Water and the Environment, Commonwealth </w:t>
      </w:r>
      <w:r w:rsidR="00C92074" w:rsidRPr="006F4023">
        <w:rPr>
          <w:rFonts w:asciiTheme="minorHAnsi" w:hAnsiTheme="minorHAnsi" w:cstheme="minorHAnsi"/>
          <w:sz w:val="16"/>
          <w:szCs w:val="16"/>
          <w:lang w:val="en-AU"/>
        </w:rPr>
        <w:t>of Australia 2021</w:t>
      </w:r>
      <w:r w:rsidRPr="006F4023">
        <w:rPr>
          <w:rFonts w:asciiTheme="minorHAnsi" w:hAnsiTheme="minorHAnsi" w:cstheme="minorHAnsi"/>
          <w:sz w:val="16"/>
          <w:szCs w:val="16"/>
          <w:lang w:val="en-AU"/>
        </w:rPr>
        <w:t xml:space="preserve">. </w:t>
      </w:r>
    </w:p>
    <w:p w14:paraId="3A5837A4" w14:textId="77777777" w:rsidR="00FC261A" w:rsidRPr="006F4023" w:rsidRDefault="00FC261A" w:rsidP="00FC261A">
      <w:pPr>
        <w:pStyle w:val="05BODYTEXT"/>
        <w:spacing w:after="57"/>
        <w:rPr>
          <w:rFonts w:asciiTheme="minorHAnsi" w:hAnsiTheme="minorHAnsi" w:cstheme="minorHAnsi"/>
          <w:sz w:val="16"/>
          <w:szCs w:val="16"/>
          <w:lang w:val="en-AU"/>
        </w:rPr>
      </w:pPr>
      <w:r w:rsidRPr="006F4023">
        <w:rPr>
          <w:rFonts w:asciiTheme="minorHAnsi" w:hAnsiTheme="minorHAnsi" w:cstheme="minorHAnsi"/>
          <w:sz w:val="16"/>
          <w:szCs w:val="16"/>
          <w:lang w:val="en-AU"/>
        </w:rPr>
        <w:t>This publication is funded by the Australian Government Department of Agriculture, Water and the Environment and Energy. The views and opinions expressed in this publication are those of the authors and do not necessarily reflect those of the Australian Government or the Minister for the Environment and Energy.</w:t>
      </w:r>
    </w:p>
    <w:p w14:paraId="655B5456" w14:textId="77777777" w:rsidR="00FC261A" w:rsidRPr="006F4023" w:rsidRDefault="00FC261A" w:rsidP="00FC261A">
      <w:pPr>
        <w:pStyle w:val="05BODYTEXT"/>
        <w:spacing w:after="57"/>
        <w:rPr>
          <w:rFonts w:asciiTheme="minorHAnsi" w:hAnsiTheme="minorHAnsi" w:cstheme="minorHAnsi"/>
          <w:sz w:val="16"/>
          <w:szCs w:val="16"/>
          <w:lang w:val="en-AU"/>
        </w:rPr>
      </w:pPr>
      <w:r w:rsidRPr="006F4023">
        <w:rPr>
          <w:rFonts w:asciiTheme="minorHAnsi" w:hAnsiTheme="minorHAnsi" w:cstheme="minorHAnsi"/>
          <w:sz w:val="16"/>
          <w:szCs w:val="16"/>
          <w:lang w:val="en-AU"/>
        </w:rPr>
        <w:t xml:space="preserve">While reasonable efforts have been made to ensure that the contents of this publication are factually correct, the Commonwealth does not accept responsibility for the accuracy or completeness of the </w:t>
      </w:r>
      <w:proofErr w:type="gramStart"/>
      <w:r w:rsidRPr="006F4023">
        <w:rPr>
          <w:rFonts w:asciiTheme="minorHAnsi" w:hAnsiTheme="minorHAnsi" w:cstheme="minorHAnsi"/>
          <w:sz w:val="16"/>
          <w:szCs w:val="16"/>
          <w:lang w:val="en-AU"/>
        </w:rPr>
        <w:t>contents, and</w:t>
      </w:r>
      <w:proofErr w:type="gramEnd"/>
      <w:r w:rsidRPr="006F4023">
        <w:rPr>
          <w:rFonts w:asciiTheme="minorHAnsi" w:hAnsiTheme="minorHAnsi" w:cstheme="minorHAnsi"/>
          <w:sz w:val="16"/>
          <w:szCs w:val="16"/>
          <w:lang w:val="en-AU"/>
        </w:rPr>
        <w:t xml:space="preserve"> shall not be liable for any loss or damage that may be occasioned directly or indirectly through the use of, or reliance on, the contents of this publication.</w:t>
      </w:r>
    </w:p>
    <w:p w14:paraId="7BBF4533" w14:textId="77777777" w:rsidR="00FC261A" w:rsidRPr="006F4023" w:rsidRDefault="00FC261A" w:rsidP="00FC261A">
      <w:pPr>
        <w:pStyle w:val="05BODYTEXT"/>
        <w:spacing w:before="113" w:after="57"/>
        <w:rPr>
          <w:rStyle w:val="BOLD"/>
          <w:rFonts w:ascii="Calibri" w:hAnsi="Calibri" w:cs="Calibri"/>
          <w:sz w:val="16"/>
          <w:szCs w:val="16"/>
          <w:lang w:val="en-AU"/>
        </w:rPr>
      </w:pPr>
      <w:r w:rsidRPr="006F4023">
        <w:rPr>
          <w:rStyle w:val="BOLD"/>
          <w:rFonts w:ascii="Calibri" w:hAnsi="Calibri" w:cs="Calibri"/>
          <w:sz w:val="16"/>
          <w:szCs w:val="16"/>
          <w:lang w:val="en-AU"/>
        </w:rPr>
        <w:t>Citation</w:t>
      </w:r>
    </w:p>
    <w:p w14:paraId="73CEAD2F" w14:textId="54C83F30" w:rsidR="00FC261A" w:rsidRPr="006F4023" w:rsidRDefault="00FC261A" w:rsidP="00FC261A">
      <w:pPr>
        <w:pStyle w:val="05BODYTEXT"/>
        <w:spacing w:before="113" w:after="57"/>
        <w:rPr>
          <w:rStyle w:val="BOLD"/>
          <w:rFonts w:asciiTheme="minorHAnsi" w:hAnsiTheme="minorHAnsi" w:cstheme="minorHAnsi"/>
          <w:sz w:val="16"/>
          <w:szCs w:val="16"/>
          <w:lang w:val="en-AU"/>
        </w:rPr>
      </w:pPr>
      <w:r w:rsidRPr="002A7BAB">
        <w:rPr>
          <w:rFonts w:asciiTheme="minorHAnsi" w:hAnsiTheme="minorHAnsi" w:cstheme="minorHAnsi"/>
          <w:color w:val="000000" w:themeColor="text1"/>
          <w:sz w:val="16"/>
          <w:szCs w:val="16"/>
          <w:lang w:val="en-AU"/>
        </w:rPr>
        <w:t xml:space="preserve">Murray TA, Power </w:t>
      </w:r>
      <w:r w:rsidR="00352DE3" w:rsidRPr="006F4023">
        <w:rPr>
          <w:rFonts w:asciiTheme="minorHAnsi" w:hAnsiTheme="minorHAnsi" w:cstheme="minorHAnsi"/>
          <w:color w:val="000000" w:themeColor="text1"/>
          <w:sz w:val="16"/>
          <w:szCs w:val="16"/>
          <w:lang w:val="en-AU"/>
        </w:rPr>
        <w:t>WL 2021</w:t>
      </w:r>
      <w:r w:rsidRPr="006F4023">
        <w:rPr>
          <w:rFonts w:asciiTheme="minorHAnsi" w:hAnsiTheme="minorHAnsi" w:cstheme="minorHAnsi"/>
          <w:color w:val="000000" w:themeColor="text1"/>
          <w:sz w:val="16"/>
          <w:szCs w:val="16"/>
          <w:lang w:val="en-AU"/>
        </w:rPr>
        <w:t xml:space="preserve">. </w:t>
      </w:r>
      <w:r w:rsidRPr="006F4023">
        <w:rPr>
          <w:rStyle w:val="ITALIC"/>
          <w:rFonts w:asciiTheme="minorHAnsi" w:hAnsiTheme="minorHAnsi" w:cstheme="minorHAnsi"/>
          <w:color w:val="000000" w:themeColor="text1"/>
          <w:sz w:val="16"/>
          <w:szCs w:val="16"/>
          <w:lang w:val="en-AU"/>
        </w:rPr>
        <w:t xml:space="preserve">Information Guidelines Explanatory Note: Characterisation and modelling of </w:t>
      </w:r>
      <w:r w:rsidR="00FE4A5E" w:rsidRPr="006F4023">
        <w:rPr>
          <w:rStyle w:val="ITALIC"/>
          <w:rFonts w:asciiTheme="minorHAnsi" w:hAnsiTheme="minorHAnsi" w:cstheme="minorHAnsi"/>
          <w:color w:val="000000" w:themeColor="text1"/>
          <w:sz w:val="16"/>
          <w:szCs w:val="16"/>
          <w:lang w:val="en-AU"/>
        </w:rPr>
        <w:t>g</w:t>
      </w:r>
      <w:r w:rsidRPr="006F4023">
        <w:rPr>
          <w:rStyle w:val="ITALIC"/>
          <w:rFonts w:asciiTheme="minorHAnsi" w:hAnsiTheme="minorHAnsi" w:cstheme="minorHAnsi"/>
          <w:color w:val="000000" w:themeColor="text1"/>
          <w:sz w:val="16"/>
          <w:szCs w:val="16"/>
          <w:lang w:val="en-AU"/>
        </w:rPr>
        <w:t xml:space="preserve">eological </w:t>
      </w:r>
      <w:r w:rsidR="00FE4A5E" w:rsidRPr="006F4023">
        <w:rPr>
          <w:rStyle w:val="ITALIC"/>
          <w:rFonts w:asciiTheme="minorHAnsi" w:hAnsiTheme="minorHAnsi" w:cstheme="minorHAnsi"/>
          <w:color w:val="000000" w:themeColor="text1"/>
          <w:sz w:val="16"/>
          <w:szCs w:val="16"/>
          <w:lang w:val="en-AU"/>
        </w:rPr>
        <w:t>f</w:t>
      </w:r>
      <w:r w:rsidRPr="006F4023">
        <w:rPr>
          <w:rStyle w:val="ITALIC"/>
          <w:rFonts w:asciiTheme="minorHAnsi" w:hAnsiTheme="minorHAnsi" w:cstheme="minorHAnsi"/>
          <w:color w:val="000000" w:themeColor="text1"/>
          <w:sz w:val="16"/>
          <w:szCs w:val="16"/>
          <w:lang w:val="en-AU"/>
        </w:rPr>
        <w:t xml:space="preserve">ault </w:t>
      </w:r>
      <w:r w:rsidR="00FE4A5E" w:rsidRPr="006F4023">
        <w:rPr>
          <w:rStyle w:val="ITALIC"/>
          <w:rFonts w:asciiTheme="minorHAnsi" w:hAnsiTheme="minorHAnsi" w:cstheme="minorHAnsi"/>
          <w:color w:val="000000" w:themeColor="text1"/>
          <w:sz w:val="16"/>
          <w:szCs w:val="16"/>
          <w:lang w:val="en-AU"/>
        </w:rPr>
        <w:t>z</w:t>
      </w:r>
      <w:r w:rsidRPr="006F4023">
        <w:rPr>
          <w:rStyle w:val="ITALIC"/>
          <w:rFonts w:asciiTheme="minorHAnsi" w:hAnsiTheme="minorHAnsi" w:cstheme="minorHAnsi"/>
          <w:color w:val="000000" w:themeColor="text1"/>
          <w:sz w:val="16"/>
          <w:szCs w:val="16"/>
          <w:lang w:val="en-AU"/>
        </w:rPr>
        <w:t>ones.</w:t>
      </w:r>
      <w:r w:rsidRPr="006F4023">
        <w:rPr>
          <w:rFonts w:asciiTheme="minorHAnsi" w:hAnsiTheme="minorHAnsi" w:cstheme="minorHAnsi"/>
          <w:color w:val="000000" w:themeColor="text1"/>
          <w:sz w:val="16"/>
          <w:szCs w:val="16"/>
          <w:lang w:val="en-AU"/>
        </w:rPr>
        <w:t xml:space="preserve"> Report prepared for the Independent Expert Scientific Committee on Coal Seam Gas and Large Coal Mining Development through the Department of Agriculture, Water and the Environment, Commonwealth </w:t>
      </w:r>
      <w:r w:rsidRPr="006F4023">
        <w:rPr>
          <w:rFonts w:asciiTheme="minorHAnsi" w:hAnsiTheme="minorHAnsi" w:cstheme="minorHAnsi"/>
          <w:sz w:val="16"/>
          <w:szCs w:val="16"/>
          <w:lang w:val="en-AU"/>
        </w:rPr>
        <w:t>of Australia 20</w:t>
      </w:r>
      <w:r w:rsidR="00532446" w:rsidRPr="006F4023">
        <w:rPr>
          <w:rFonts w:asciiTheme="minorHAnsi" w:hAnsiTheme="minorHAnsi" w:cstheme="minorHAnsi"/>
          <w:sz w:val="16"/>
          <w:szCs w:val="16"/>
          <w:lang w:val="en-AU"/>
        </w:rPr>
        <w:t>21</w:t>
      </w:r>
      <w:r w:rsidRPr="006F4023">
        <w:rPr>
          <w:rFonts w:asciiTheme="minorHAnsi" w:hAnsiTheme="minorHAnsi" w:cstheme="minorHAnsi"/>
          <w:sz w:val="16"/>
          <w:szCs w:val="16"/>
          <w:lang w:val="en-AU"/>
        </w:rPr>
        <w:t>.</w:t>
      </w:r>
    </w:p>
    <w:p w14:paraId="5AD6E76C" w14:textId="77777777" w:rsidR="00FC261A" w:rsidRPr="006F4023" w:rsidRDefault="00FC261A" w:rsidP="00FC261A">
      <w:pPr>
        <w:pStyle w:val="05BODYTEXT"/>
        <w:spacing w:before="113" w:after="57"/>
        <w:rPr>
          <w:rStyle w:val="BOLD"/>
          <w:rFonts w:ascii="Calibri" w:hAnsi="Calibri" w:cs="Calibri"/>
          <w:sz w:val="16"/>
          <w:szCs w:val="16"/>
          <w:lang w:val="en-AU"/>
        </w:rPr>
      </w:pPr>
      <w:r w:rsidRPr="006F4023">
        <w:rPr>
          <w:rStyle w:val="BOLD"/>
          <w:rFonts w:ascii="Calibri" w:hAnsi="Calibri" w:cs="Calibri"/>
          <w:sz w:val="16"/>
          <w:szCs w:val="16"/>
          <w:lang w:val="en-AU"/>
        </w:rPr>
        <w:t>Acknowledgement</w:t>
      </w:r>
    </w:p>
    <w:p w14:paraId="0179041D" w14:textId="280519C5" w:rsidR="00FC261A" w:rsidRPr="006F4023" w:rsidRDefault="00FC261A" w:rsidP="00FC261A">
      <w:pPr>
        <w:pStyle w:val="05BODYTEXT"/>
        <w:spacing w:after="57"/>
        <w:rPr>
          <w:rFonts w:asciiTheme="minorHAnsi" w:hAnsiTheme="minorHAnsi" w:cstheme="minorHAnsi"/>
          <w:sz w:val="16"/>
          <w:szCs w:val="16"/>
          <w:lang w:val="en-AU"/>
        </w:rPr>
      </w:pPr>
      <w:r w:rsidRPr="006F4023">
        <w:rPr>
          <w:rFonts w:asciiTheme="minorHAnsi" w:hAnsiTheme="minorHAnsi" w:cstheme="minorHAnsi"/>
          <w:sz w:val="16"/>
          <w:szCs w:val="16"/>
          <w:lang w:val="en-AU"/>
        </w:rPr>
        <w:t xml:space="preserve">This report was finalised by the Independent Expert Scientific Committee on Coal Seam Gas and Large Coal Mining Development (IESC) based on consideration of work commissioned by the Office of Water Science (OWS) on behalf of the IESC in </w:t>
      </w:r>
      <w:r w:rsidR="004A0275" w:rsidRPr="006F4023">
        <w:rPr>
          <w:rFonts w:asciiTheme="minorHAnsi" w:hAnsiTheme="minorHAnsi" w:cstheme="minorHAnsi"/>
          <w:sz w:val="16"/>
          <w:szCs w:val="16"/>
          <w:lang w:val="en-AU"/>
        </w:rPr>
        <w:t>June</w:t>
      </w:r>
      <w:r w:rsidRPr="006F4023">
        <w:rPr>
          <w:rFonts w:asciiTheme="minorHAnsi" w:hAnsiTheme="minorHAnsi" w:cstheme="minorHAnsi"/>
          <w:sz w:val="16"/>
          <w:szCs w:val="16"/>
          <w:lang w:val="en-AU"/>
        </w:rPr>
        <w:t xml:space="preserve"> 201</w:t>
      </w:r>
      <w:r w:rsidR="004A0275" w:rsidRPr="006F4023">
        <w:rPr>
          <w:rFonts w:asciiTheme="minorHAnsi" w:hAnsiTheme="minorHAnsi" w:cstheme="minorHAnsi"/>
          <w:sz w:val="16"/>
          <w:szCs w:val="16"/>
          <w:lang w:val="en-AU"/>
        </w:rPr>
        <w:t>8</w:t>
      </w:r>
      <w:r w:rsidRPr="006F4023">
        <w:rPr>
          <w:rFonts w:asciiTheme="minorHAnsi" w:hAnsiTheme="minorHAnsi" w:cstheme="minorHAnsi"/>
          <w:sz w:val="16"/>
          <w:szCs w:val="16"/>
          <w:lang w:val="en-AU"/>
        </w:rPr>
        <w:t xml:space="preserve"> through the Department of the Environment and Energy. </w:t>
      </w:r>
    </w:p>
    <w:p w14:paraId="1A9F72E7" w14:textId="2C47DCBA" w:rsidR="00FC261A" w:rsidRPr="006F4023" w:rsidRDefault="00FC261A" w:rsidP="00FC261A">
      <w:pPr>
        <w:pStyle w:val="05BODYTEXT"/>
        <w:spacing w:after="57"/>
        <w:rPr>
          <w:rFonts w:asciiTheme="minorHAnsi" w:hAnsiTheme="minorHAnsi" w:cstheme="minorHAnsi"/>
          <w:sz w:val="16"/>
          <w:szCs w:val="16"/>
          <w:lang w:val="en-AU"/>
        </w:rPr>
      </w:pPr>
      <w:r w:rsidRPr="006F4023">
        <w:rPr>
          <w:rFonts w:asciiTheme="minorHAnsi" w:hAnsiTheme="minorHAnsi" w:cstheme="minorHAnsi"/>
          <w:sz w:val="16"/>
          <w:szCs w:val="16"/>
          <w:lang w:val="en-AU"/>
        </w:rPr>
        <w:t xml:space="preserve">Contributors to this work were Wendy Timms (IESC), Joan </w:t>
      </w:r>
      <w:proofErr w:type="spellStart"/>
      <w:r w:rsidRPr="006F4023">
        <w:rPr>
          <w:rFonts w:asciiTheme="minorHAnsi" w:hAnsiTheme="minorHAnsi" w:cstheme="minorHAnsi"/>
          <w:sz w:val="16"/>
          <w:szCs w:val="16"/>
          <w:lang w:val="en-AU"/>
        </w:rPr>
        <w:t>Esterle</w:t>
      </w:r>
      <w:proofErr w:type="spellEnd"/>
      <w:r w:rsidRPr="006F4023">
        <w:rPr>
          <w:rFonts w:asciiTheme="minorHAnsi" w:hAnsiTheme="minorHAnsi" w:cstheme="minorHAnsi"/>
          <w:sz w:val="16"/>
          <w:szCs w:val="16"/>
          <w:lang w:val="en-AU"/>
        </w:rPr>
        <w:t xml:space="preserve"> (IESC</w:t>
      </w:r>
      <w:r w:rsidR="00F96DDA" w:rsidRPr="006F4023">
        <w:rPr>
          <w:rFonts w:asciiTheme="minorHAnsi" w:hAnsiTheme="minorHAnsi" w:cstheme="minorHAnsi"/>
          <w:sz w:val="16"/>
          <w:szCs w:val="16"/>
          <w:lang w:val="en-AU"/>
        </w:rPr>
        <w:t xml:space="preserve"> / University of Queensland</w:t>
      </w:r>
      <w:r w:rsidRPr="006F4023">
        <w:rPr>
          <w:rFonts w:asciiTheme="minorHAnsi" w:hAnsiTheme="minorHAnsi" w:cstheme="minorHAnsi"/>
          <w:sz w:val="16"/>
          <w:szCs w:val="16"/>
          <w:lang w:val="en-AU"/>
        </w:rPr>
        <w:t xml:space="preserve">), </w:t>
      </w:r>
      <w:r w:rsidR="00F96DDA" w:rsidRPr="006F4023">
        <w:rPr>
          <w:rFonts w:asciiTheme="minorHAnsi" w:hAnsiTheme="minorHAnsi" w:cstheme="minorHAnsi"/>
          <w:sz w:val="16"/>
          <w:szCs w:val="16"/>
          <w:lang w:val="en-AU"/>
        </w:rPr>
        <w:t xml:space="preserve">Phil Hayes (University of Queensland) </w:t>
      </w:r>
      <w:r w:rsidR="00C8595A" w:rsidRPr="006F4023">
        <w:rPr>
          <w:rFonts w:asciiTheme="minorHAnsi" w:hAnsiTheme="minorHAnsi" w:cstheme="minorHAnsi"/>
          <w:sz w:val="16"/>
          <w:szCs w:val="16"/>
          <w:lang w:val="en-AU"/>
        </w:rPr>
        <w:t xml:space="preserve">Catherine Moore (IESC), </w:t>
      </w:r>
      <w:r w:rsidRPr="006F4023">
        <w:rPr>
          <w:rFonts w:asciiTheme="minorHAnsi" w:hAnsiTheme="minorHAnsi" w:cstheme="minorHAnsi"/>
          <w:sz w:val="16"/>
          <w:szCs w:val="16"/>
          <w:lang w:val="en-AU"/>
        </w:rPr>
        <w:t xml:space="preserve">Peter Baker (OWS) and Kelly Strike (OWS). </w:t>
      </w:r>
    </w:p>
    <w:p w14:paraId="7207BB64" w14:textId="77777777" w:rsidR="00FC261A" w:rsidRPr="006F4023" w:rsidRDefault="00FC261A" w:rsidP="00FC261A">
      <w:pPr>
        <w:pStyle w:val="05BODYTEXT"/>
        <w:spacing w:after="57"/>
        <w:rPr>
          <w:rFonts w:asciiTheme="minorHAnsi" w:hAnsiTheme="minorHAnsi" w:cstheme="minorHAnsi"/>
          <w:b/>
          <w:bCs/>
          <w:sz w:val="16"/>
          <w:szCs w:val="16"/>
          <w:lang w:val="en-AU"/>
        </w:rPr>
      </w:pPr>
      <w:r w:rsidRPr="006F4023">
        <w:rPr>
          <w:rFonts w:asciiTheme="minorHAnsi" w:hAnsiTheme="minorHAnsi" w:cstheme="minorHAnsi"/>
          <w:sz w:val="16"/>
          <w:szCs w:val="16"/>
          <w:lang w:val="en-AU"/>
        </w:rPr>
        <w:t xml:space="preserve">The Department acknowledges the traditional owners of country throughout Australia and their continuing connection to land, </w:t>
      </w:r>
      <w:proofErr w:type="gramStart"/>
      <w:r w:rsidRPr="006F4023">
        <w:rPr>
          <w:rFonts w:asciiTheme="minorHAnsi" w:hAnsiTheme="minorHAnsi" w:cstheme="minorHAnsi"/>
          <w:sz w:val="16"/>
          <w:szCs w:val="16"/>
          <w:lang w:val="en-AU"/>
        </w:rPr>
        <w:t>sea</w:t>
      </w:r>
      <w:proofErr w:type="gramEnd"/>
      <w:r w:rsidRPr="006F4023">
        <w:rPr>
          <w:rFonts w:asciiTheme="minorHAnsi" w:hAnsiTheme="minorHAnsi" w:cstheme="minorHAnsi"/>
          <w:sz w:val="16"/>
          <w:szCs w:val="16"/>
          <w:lang w:val="en-AU"/>
        </w:rPr>
        <w:t xml:space="preserve"> and community. We pay our respects to them and their cultures and to their elders both past and present.</w:t>
      </w:r>
    </w:p>
    <w:p w14:paraId="2DACEEDE" w14:textId="77777777" w:rsidR="00AF1674" w:rsidRPr="006F4023" w:rsidRDefault="00AF1674" w:rsidP="00AF1674">
      <w:pPr>
        <w:pStyle w:val="05BODYTEXT"/>
        <w:spacing w:before="113" w:after="57"/>
        <w:rPr>
          <w:rStyle w:val="BOLD"/>
          <w:rFonts w:ascii="Calibri" w:hAnsi="Calibri" w:cs="Calibri"/>
          <w:sz w:val="16"/>
          <w:szCs w:val="16"/>
          <w:lang w:val="en-AU"/>
        </w:rPr>
      </w:pPr>
      <w:r w:rsidRPr="006F4023">
        <w:rPr>
          <w:rStyle w:val="BOLD"/>
          <w:rFonts w:ascii="Calibri" w:hAnsi="Calibri" w:cs="Calibri"/>
          <w:sz w:val="16"/>
          <w:szCs w:val="16"/>
          <w:lang w:val="en-AU"/>
        </w:rPr>
        <w:t>Contact details</w:t>
      </w:r>
    </w:p>
    <w:p w14:paraId="5E547C5C" w14:textId="77777777" w:rsidR="00AF1674" w:rsidRPr="006F4023" w:rsidRDefault="00AF1674" w:rsidP="00AF1674">
      <w:pPr>
        <w:pStyle w:val="05BODYTEXT"/>
        <w:spacing w:after="57"/>
        <w:rPr>
          <w:rFonts w:ascii="Calibri" w:hAnsi="Calibri" w:cs="Calibri"/>
          <w:sz w:val="16"/>
          <w:szCs w:val="16"/>
          <w:lang w:val="en-AU"/>
        </w:rPr>
      </w:pPr>
      <w:r w:rsidRPr="006F4023">
        <w:rPr>
          <w:rFonts w:ascii="Calibri" w:hAnsi="Calibri" w:cs="Calibri"/>
          <w:sz w:val="16"/>
          <w:szCs w:val="16"/>
          <w:lang w:val="en-AU"/>
        </w:rPr>
        <w:t xml:space="preserve">For information about this report or about the work of the IESC, please contact: </w:t>
      </w:r>
    </w:p>
    <w:p w14:paraId="6A33BAB9" w14:textId="77777777" w:rsidR="00AF1674" w:rsidRPr="006F4023" w:rsidRDefault="00AF1674" w:rsidP="00AF1674">
      <w:pPr>
        <w:pStyle w:val="05BODYTEXT"/>
        <w:spacing w:after="57"/>
        <w:rPr>
          <w:rFonts w:ascii="Calibri" w:hAnsi="Calibri" w:cs="Calibri"/>
          <w:sz w:val="16"/>
          <w:szCs w:val="16"/>
          <w:lang w:val="en-AU"/>
        </w:rPr>
      </w:pPr>
      <w:r w:rsidRPr="006F4023">
        <w:rPr>
          <w:rFonts w:ascii="Calibri" w:hAnsi="Calibri" w:cs="Calibri"/>
          <w:sz w:val="16"/>
          <w:szCs w:val="16"/>
          <w:lang w:val="en-AU"/>
        </w:rPr>
        <w:t>IESC Secretariat</w:t>
      </w:r>
    </w:p>
    <w:p w14:paraId="5D8F3B39" w14:textId="77777777" w:rsidR="00AF1674" w:rsidRPr="006F4023" w:rsidRDefault="00AF1674" w:rsidP="00AF1674">
      <w:pPr>
        <w:pStyle w:val="05BODYTEXT"/>
        <w:spacing w:after="57"/>
        <w:rPr>
          <w:rFonts w:ascii="Calibri" w:hAnsi="Calibri" w:cs="Calibri"/>
          <w:sz w:val="16"/>
          <w:szCs w:val="16"/>
          <w:lang w:val="en-AU"/>
        </w:rPr>
      </w:pPr>
      <w:r w:rsidRPr="006F4023">
        <w:rPr>
          <w:rFonts w:ascii="Calibri" w:hAnsi="Calibri" w:cs="Calibri"/>
          <w:sz w:val="16"/>
          <w:szCs w:val="16"/>
          <w:lang w:val="en-AU"/>
        </w:rPr>
        <w:t>Office of Water Science</w:t>
      </w:r>
      <w:r w:rsidRPr="006F4023">
        <w:rPr>
          <w:rFonts w:ascii="Calibri" w:hAnsi="Calibri" w:cs="Calibri"/>
          <w:sz w:val="16"/>
          <w:szCs w:val="16"/>
          <w:lang w:val="en-AU"/>
        </w:rPr>
        <w:br/>
        <w:t xml:space="preserve">Department of the Environment and Energy </w:t>
      </w:r>
      <w:r w:rsidRPr="006F4023">
        <w:rPr>
          <w:rFonts w:ascii="Calibri" w:hAnsi="Calibri" w:cs="Calibri"/>
          <w:sz w:val="16"/>
          <w:szCs w:val="16"/>
          <w:lang w:val="en-AU"/>
        </w:rPr>
        <w:br/>
        <w:t>GPO Box 787</w:t>
      </w:r>
      <w:r w:rsidRPr="006F4023">
        <w:rPr>
          <w:rFonts w:ascii="Calibri" w:hAnsi="Calibri" w:cs="Calibri"/>
          <w:sz w:val="16"/>
          <w:szCs w:val="16"/>
          <w:lang w:val="en-AU"/>
        </w:rPr>
        <w:br/>
        <w:t>CANBERRA ACT 2601</w:t>
      </w:r>
    </w:p>
    <w:p w14:paraId="5AF0EEEE" w14:textId="7EFBDF04" w:rsidR="00AF1674" w:rsidRPr="005A2134" w:rsidRDefault="00AF1674" w:rsidP="00AF1674">
      <w:pPr>
        <w:pStyle w:val="05BODYTEXT"/>
        <w:spacing w:after="57"/>
        <w:rPr>
          <w:rFonts w:ascii="Calibri" w:hAnsi="Calibri" w:cs="Calibri"/>
          <w:sz w:val="16"/>
          <w:szCs w:val="16"/>
          <w:lang w:val="en-AU"/>
        </w:rPr>
      </w:pPr>
      <w:r w:rsidRPr="006F4023">
        <w:rPr>
          <w:rFonts w:ascii="Calibri" w:hAnsi="Calibri" w:cs="Calibri"/>
          <w:sz w:val="16"/>
          <w:szCs w:val="16"/>
          <w:lang w:val="en-AU"/>
        </w:rPr>
        <w:t xml:space="preserve">The report can be accessed at </w:t>
      </w:r>
      <w:hyperlink r:id="rId21" w:history="1">
        <w:r w:rsidR="00FC261A" w:rsidRPr="006F4023">
          <w:rPr>
            <w:rStyle w:val="Hyperlink"/>
            <w:rFonts w:ascii="Calibri" w:hAnsi="Calibri" w:cs="Calibri"/>
            <w:sz w:val="16"/>
            <w:szCs w:val="16"/>
            <w:lang w:val="en-AU"/>
          </w:rPr>
          <w:t>http://www.iesc.environment.gov.au/</w:t>
        </w:r>
      </w:hyperlink>
      <w:r w:rsidR="00FC261A" w:rsidRPr="006F4023">
        <w:rPr>
          <w:rFonts w:ascii="Calibri" w:hAnsi="Calibri" w:cs="Calibri"/>
          <w:sz w:val="16"/>
          <w:szCs w:val="16"/>
          <w:lang w:val="en-AU"/>
        </w:rPr>
        <w:t xml:space="preserve">. </w:t>
      </w:r>
    </w:p>
    <w:p w14:paraId="680B10DA" w14:textId="77777777" w:rsidR="00AF1674" w:rsidRPr="006F4023" w:rsidRDefault="00AF1674" w:rsidP="00AF1674">
      <w:pPr>
        <w:pStyle w:val="05BODYTEXT"/>
        <w:spacing w:after="113"/>
        <w:rPr>
          <w:sz w:val="16"/>
          <w:szCs w:val="16"/>
          <w:lang w:val="en-AU"/>
        </w:rPr>
      </w:pPr>
      <w:r w:rsidRPr="006F4023">
        <w:rPr>
          <w:rStyle w:val="BOLD"/>
          <w:sz w:val="16"/>
          <w:szCs w:val="16"/>
          <w:lang w:val="en-AU"/>
        </w:rPr>
        <w:t>Images</w:t>
      </w:r>
    </w:p>
    <w:p w14:paraId="0B9266B9" w14:textId="77777777" w:rsidR="00AF1674" w:rsidRPr="006F4023" w:rsidRDefault="00AF1674" w:rsidP="00AF1674">
      <w:pPr>
        <w:pStyle w:val="05BODYTEXT"/>
        <w:spacing w:after="113"/>
        <w:rPr>
          <w:color w:val="FF0000"/>
          <w:sz w:val="16"/>
          <w:szCs w:val="16"/>
          <w:lang w:val="en-AU"/>
        </w:rPr>
      </w:pPr>
      <w:r w:rsidRPr="006F4023">
        <w:rPr>
          <w:color w:val="FF0000"/>
          <w:sz w:val="16"/>
          <w:szCs w:val="16"/>
          <w:lang w:val="en-AU"/>
        </w:rPr>
        <w:t>Front Cover: McIntyre River</w:t>
      </w:r>
      <w:r w:rsidR="008A4478" w:rsidRPr="006F4023">
        <w:rPr>
          <w:color w:val="FF0000"/>
          <w:sz w:val="16"/>
          <w:szCs w:val="16"/>
          <w:lang w:val="en-AU"/>
        </w:rPr>
        <w:t xml:space="preserve"> </w:t>
      </w:r>
      <w:r w:rsidRPr="006F4023">
        <w:rPr>
          <w:color w:val="FF0000"/>
          <w:sz w:val="16"/>
          <w:szCs w:val="16"/>
          <w:lang w:val="en-AU"/>
        </w:rPr>
        <w:t>|</w:t>
      </w:r>
      <w:r w:rsidR="008A4478" w:rsidRPr="006F4023">
        <w:rPr>
          <w:color w:val="FF0000"/>
          <w:sz w:val="16"/>
          <w:szCs w:val="16"/>
          <w:lang w:val="en-AU"/>
        </w:rPr>
        <w:t xml:space="preserve"> </w:t>
      </w:r>
      <w:r w:rsidRPr="006F4023">
        <w:rPr>
          <w:color w:val="FF0000"/>
          <w:sz w:val="16"/>
          <w:szCs w:val="16"/>
          <w:lang w:val="en-AU"/>
        </w:rPr>
        <w:t>Location: Condamine catchment area</w:t>
      </w:r>
      <w:r w:rsidR="008A4478" w:rsidRPr="006F4023">
        <w:rPr>
          <w:color w:val="FF0000"/>
          <w:sz w:val="16"/>
          <w:szCs w:val="16"/>
          <w:lang w:val="en-AU"/>
        </w:rPr>
        <w:t xml:space="preserve"> </w:t>
      </w:r>
      <w:r w:rsidRPr="006F4023">
        <w:rPr>
          <w:color w:val="FF0000"/>
          <w:sz w:val="16"/>
          <w:szCs w:val="16"/>
          <w:lang w:val="en-AU"/>
        </w:rPr>
        <w:t>|</w:t>
      </w:r>
      <w:r w:rsidR="008A4478" w:rsidRPr="006F4023">
        <w:rPr>
          <w:color w:val="FF0000"/>
          <w:sz w:val="16"/>
          <w:szCs w:val="16"/>
          <w:lang w:val="en-AU"/>
        </w:rPr>
        <w:t xml:space="preserve"> </w:t>
      </w:r>
      <w:r w:rsidRPr="006F4023">
        <w:rPr>
          <w:color w:val="FF0000"/>
          <w:sz w:val="16"/>
          <w:szCs w:val="16"/>
          <w:lang w:val="en-AU"/>
        </w:rPr>
        <w:t>© Department of the Environment and Energy</w:t>
      </w:r>
      <w:r w:rsidRPr="006F4023">
        <w:rPr>
          <w:color w:val="FF0000"/>
          <w:sz w:val="16"/>
          <w:szCs w:val="16"/>
          <w:lang w:val="en-AU"/>
        </w:rPr>
        <w:br/>
        <w:t>© Department of the Environment and Energy (taken by staff)</w:t>
      </w:r>
    </w:p>
    <w:p w14:paraId="0A7B6D6D" w14:textId="77777777" w:rsidR="00D01FBD" w:rsidRPr="006F4023" w:rsidRDefault="00AF1674" w:rsidP="00AF1674">
      <w:pPr>
        <w:pStyle w:val="05BODYTEXT"/>
        <w:spacing w:after="0"/>
        <w:rPr>
          <w:sz w:val="16"/>
          <w:szCs w:val="16"/>
          <w:lang w:val="en-AU"/>
        </w:rPr>
        <w:sectPr w:rsidR="00D01FBD" w:rsidRPr="006F4023" w:rsidSect="00215158">
          <w:headerReference w:type="even" r:id="rId22"/>
          <w:headerReference w:type="default" r:id="rId23"/>
          <w:footerReference w:type="even" r:id="rId24"/>
          <w:footerReference w:type="default" r:id="rId25"/>
          <w:headerReference w:type="first" r:id="rId26"/>
          <w:footerReference w:type="first" r:id="rId27"/>
          <w:pgSz w:w="11906" w:h="16838" w:code="9"/>
          <w:pgMar w:top="1701" w:right="1418" w:bottom="1418" w:left="1418" w:header="567" w:footer="567" w:gutter="0"/>
          <w:pgNumType w:fmt="lowerRoman" w:start="2"/>
          <w:cols w:space="708"/>
          <w:vAlign w:val="bottom"/>
          <w:docGrid w:linePitch="360"/>
        </w:sectPr>
      </w:pPr>
      <w:r w:rsidRPr="006F4023">
        <w:rPr>
          <w:sz w:val="16"/>
          <w:szCs w:val="16"/>
          <w:lang w:val="en-AU"/>
        </w:rPr>
        <w:t>All other images © Department of the Environment and Energy unless specified otherwise.</w:t>
      </w:r>
    </w:p>
    <w:p w14:paraId="3C219423" w14:textId="77777777" w:rsidR="00D01FBD" w:rsidRPr="006F4023" w:rsidRDefault="00FC261A" w:rsidP="00D01FBD">
      <w:pPr>
        <w:pStyle w:val="Titlepagetitle"/>
        <w:rPr>
          <w:lang w:val="en-AU"/>
        </w:rPr>
      </w:pPr>
      <w:r w:rsidRPr="006F4023">
        <w:rPr>
          <w:lang w:val="en-AU"/>
        </w:rPr>
        <w:lastRenderedPageBreak/>
        <w:t>Information Guidelines Explanatory Note</w:t>
      </w:r>
    </w:p>
    <w:p w14:paraId="6F3CDCA0" w14:textId="77777777" w:rsidR="00441AD4" w:rsidRPr="006F4023" w:rsidRDefault="00FC261A" w:rsidP="00441AD4">
      <w:pPr>
        <w:pStyle w:val="Titlepagesubtitle"/>
        <w:rPr>
          <w:sz w:val="16"/>
          <w:szCs w:val="16"/>
          <w:lang w:val="en-AU"/>
        </w:rPr>
      </w:pPr>
      <w:r w:rsidRPr="006F4023">
        <w:rPr>
          <w:lang w:val="en-AU"/>
        </w:rPr>
        <w:t>Characterisation and modelling of Geological Fault Zones</w:t>
      </w:r>
    </w:p>
    <w:p w14:paraId="0CE8E522" w14:textId="77777777" w:rsidR="00441AD4" w:rsidRPr="006F4023" w:rsidRDefault="00441AD4" w:rsidP="00AF1674">
      <w:pPr>
        <w:pStyle w:val="05BODYTEXT"/>
        <w:spacing w:after="0"/>
        <w:rPr>
          <w:sz w:val="16"/>
          <w:szCs w:val="16"/>
          <w:lang w:val="en-AU"/>
        </w:rPr>
        <w:sectPr w:rsidR="00441AD4" w:rsidRPr="006F4023" w:rsidSect="004E1E3F">
          <w:headerReference w:type="even" r:id="rId28"/>
          <w:headerReference w:type="default" r:id="rId29"/>
          <w:headerReference w:type="first" r:id="rId30"/>
          <w:pgSz w:w="11906" w:h="16838" w:code="9"/>
          <w:pgMar w:top="1701" w:right="1418" w:bottom="1418" w:left="1418" w:header="567" w:footer="567" w:gutter="0"/>
          <w:pgNumType w:start="1"/>
          <w:cols w:space="708"/>
          <w:vAlign w:val="center"/>
          <w:titlePg/>
          <w:docGrid w:linePitch="360"/>
        </w:sectPr>
      </w:pPr>
    </w:p>
    <w:p w14:paraId="5DAAF855" w14:textId="39FBDF0B" w:rsidR="00442520" w:rsidRPr="006F4023" w:rsidRDefault="0099170A" w:rsidP="005C7FD5">
      <w:pPr>
        <w:pStyle w:val="05BODYTEXT"/>
        <w:spacing w:after="0"/>
        <w:ind w:left="-1418"/>
        <w:rPr>
          <w:sz w:val="16"/>
          <w:szCs w:val="16"/>
          <w:lang w:val="en-AU"/>
        </w:rPr>
      </w:pPr>
      <w:r w:rsidRPr="006F4023">
        <w:rPr>
          <w:noProof/>
          <w:sz w:val="16"/>
          <w:szCs w:val="16"/>
          <w:lang w:val="en-AU" w:eastAsia="en-AU"/>
        </w:rPr>
        <w:lastRenderedPageBreak/>
        <w:drawing>
          <wp:anchor distT="0" distB="0" distL="114300" distR="114300" simplePos="0" relativeHeight="251658240" behindDoc="1" locked="0" layoutInCell="1" allowOverlap="1" wp14:anchorId="69BCF16C" wp14:editId="1086A61C">
            <wp:simplePos x="0" y="0"/>
            <wp:positionH relativeFrom="column">
              <wp:posOffset>-900430</wp:posOffset>
            </wp:positionH>
            <wp:positionV relativeFrom="paragraph">
              <wp:posOffset>1517342</wp:posOffset>
            </wp:positionV>
            <wp:extent cx="7552800" cy="5666400"/>
            <wp:effectExtent l="0" t="0" r="3810" b="0"/>
            <wp:wrapNone/>
            <wp:docPr id="9" name="Picture 9" descr="Reflections on the lake at the Hunter Wetlands Centre (Shortlands Wetl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1 Front cover.jpg"/>
                    <pic:cNvPicPr/>
                  </pic:nvPicPr>
                  <pic:blipFill>
                    <a:blip r:embed="rId31">
                      <a:extLst>
                        <a:ext uri="{28A0092B-C50C-407E-A947-70E740481C1C}">
                          <a14:useLocalDpi xmlns:a14="http://schemas.microsoft.com/office/drawing/2010/main" val="0"/>
                        </a:ext>
                      </a:extLst>
                    </a:blip>
                    <a:stretch>
                      <a:fillRect/>
                    </a:stretch>
                  </pic:blipFill>
                  <pic:spPr>
                    <a:xfrm>
                      <a:off x="0" y="0"/>
                      <a:ext cx="7552800" cy="5666400"/>
                    </a:xfrm>
                    <a:prstGeom prst="rect">
                      <a:avLst/>
                    </a:prstGeom>
                  </pic:spPr>
                </pic:pic>
              </a:graphicData>
            </a:graphic>
            <wp14:sizeRelH relativeFrom="margin">
              <wp14:pctWidth>0</wp14:pctWidth>
            </wp14:sizeRelH>
            <wp14:sizeRelV relativeFrom="margin">
              <wp14:pctHeight>0</wp14:pctHeight>
            </wp14:sizeRelV>
          </wp:anchor>
        </w:drawing>
      </w:r>
    </w:p>
    <w:p w14:paraId="0305AA73" w14:textId="77777777" w:rsidR="00442520" w:rsidRPr="006F4023" w:rsidRDefault="00442520">
      <w:pPr>
        <w:rPr>
          <w:rFonts w:ascii="Adobe Garamond Pro" w:hAnsi="Adobe Garamond Pro" w:cs="Adobe Garamond Pro"/>
          <w:color w:val="000000"/>
          <w:sz w:val="16"/>
          <w:szCs w:val="16"/>
        </w:rPr>
      </w:pPr>
      <w:r w:rsidRPr="006F4023">
        <w:rPr>
          <w:sz w:val="16"/>
          <w:szCs w:val="16"/>
        </w:rPr>
        <w:br w:type="page"/>
      </w:r>
    </w:p>
    <w:p w14:paraId="0B68C1E4" w14:textId="77777777" w:rsidR="00E800CD" w:rsidRPr="006F4023" w:rsidRDefault="00E800CD" w:rsidP="005C7FD5">
      <w:pPr>
        <w:pStyle w:val="05BODYTEXT"/>
        <w:spacing w:after="0"/>
        <w:ind w:left="-1418"/>
        <w:rPr>
          <w:sz w:val="16"/>
          <w:szCs w:val="16"/>
          <w:lang w:val="en-AU"/>
        </w:rPr>
        <w:sectPr w:rsidR="00E800CD" w:rsidRPr="006F4023" w:rsidSect="005C7FD5">
          <w:footerReference w:type="default" r:id="rId32"/>
          <w:pgSz w:w="11906" w:h="16838" w:code="9"/>
          <w:pgMar w:top="1701" w:right="1418" w:bottom="1418" w:left="1418" w:header="567" w:footer="567" w:gutter="0"/>
          <w:cols w:space="708"/>
          <w:docGrid w:linePitch="360"/>
        </w:sectPr>
      </w:pPr>
    </w:p>
    <w:sdt>
      <w:sdtPr>
        <w:rPr>
          <w:rFonts w:asciiTheme="minorHAnsi" w:eastAsiaTheme="minorHAnsi" w:hAnsiTheme="minorHAnsi" w:cstheme="minorBidi"/>
          <w:color w:val="auto"/>
          <w:sz w:val="24"/>
          <w:szCs w:val="24"/>
        </w:rPr>
        <w:id w:val="-206408756"/>
        <w:docPartObj>
          <w:docPartGallery w:val="Table of Contents"/>
          <w:docPartUnique/>
        </w:docPartObj>
      </w:sdtPr>
      <w:sdtEndPr>
        <w:rPr>
          <w:b/>
          <w:bCs/>
          <w:noProof/>
          <w:sz w:val="22"/>
          <w:szCs w:val="22"/>
        </w:rPr>
      </w:sdtEndPr>
      <w:sdtContent>
        <w:p w14:paraId="4CE2FF94" w14:textId="0FAA1692" w:rsidR="00442520" w:rsidRPr="006F4023" w:rsidRDefault="00442520" w:rsidP="009E0620">
          <w:pPr>
            <w:pStyle w:val="TOCHeading"/>
          </w:pPr>
          <w:r w:rsidRPr="006F4023">
            <w:t>Table of Contents</w:t>
          </w:r>
          <w:r w:rsidR="00DA653F" w:rsidRPr="006F4023">
            <w:t xml:space="preserve"> </w:t>
          </w:r>
        </w:p>
        <w:p w14:paraId="21FAE065" w14:textId="030A8AE5" w:rsidR="00C8365E" w:rsidRDefault="00C77E18">
          <w:pPr>
            <w:pStyle w:val="TOC1"/>
            <w:rPr>
              <w:rFonts w:eastAsiaTheme="minorEastAsia" w:cstheme="minorBidi"/>
              <w:b w:val="0"/>
              <w:bCs w:val="0"/>
              <w:iCs w:val="0"/>
              <w:lang w:eastAsia="en-AU"/>
            </w:rPr>
          </w:pPr>
          <w:r w:rsidRPr="006F4023">
            <w:fldChar w:fldCharType="begin"/>
          </w:r>
          <w:r w:rsidRPr="006F4023">
            <w:instrText xml:space="preserve"> TOC \o "1-3" \h \z \u </w:instrText>
          </w:r>
          <w:r w:rsidRPr="006F4023">
            <w:fldChar w:fldCharType="separate"/>
          </w:r>
          <w:hyperlink w:anchor="_Toc66967162" w:history="1">
            <w:r w:rsidR="00C8365E" w:rsidRPr="00C959ED">
              <w:rPr>
                <w:rStyle w:val="Hyperlink"/>
              </w:rPr>
              <w:t>Overview</w:t>
            </w:r>
            <w:r w:rsidR="00C8365E">
              <w:rPr>
                <w:webHidden/>
              </w:rPr>
              <w:tab/>
            </w:r>
            <w:r w:rsidR="00C8365E">
              <w:rPr>
                <w:webHidden/>
              </w:rPr>
              <w:fldChar w:fldCharType="begin"/>
            </w:r>
            <w:r w:rsidR="00C8365E">
              <w:rPr>
                <w:webHidden/>
              </w:rPr>
              <w:instrText xml:space="preserve"> PAGEREF _Toc66967162 \h </w:instrText>
            </w:r>
            <w:r w:rsidR="00C8365E">
              <w:rPr>
                <w:webHidden/>
              </w:rPr>
            </w:r>
            <w:r w:rsidR="00C8365E">
              <w:rPr>
                <w:webHidden/>
              </w:rPr>
              <w:fldChar w:fldCharType="separate"/>
            </w:r>
            <w:r w:rsidR="00047351">
              <w:rPr>
                <w:webHidden/>
              </w:rPr>
              <w:t>4</w:t>
            </w:r>
            <w:r w:rsidR="00C8365E">
              <w:rPr>
                <w:webHidden/>
              </w:rPr>
              <w:fldChar w:fldCharType="end"/>
            </w:r>
          </w:hyperlink>
        </w:p>
        <w:p w14:paraId="307F4501" w14:textId="225E404C" w:rsidR="00C8365E" w:rsidRDefault="00245460">
          <w:pPr>
            <w:pStyle w:val="TOC2"/>
            <w:rPr>
              <w:rFonts w:eastAsiaTheme="minorEastAsia" w:cstheme="minorBidi"/>
              <w:b w:val="0"/>
              <w:bCs w:val="0"/>
              <w:lang w:eastAsia="en-AU"/>
            </w:rPr>
          </w:pPr>
          <w:hyperlink w:anchor="_Toc66967163" w:history="1">
            <w:r w:rsidR="00C8365E" w:rsidRPr="00C959ED">
              <w:rPr>
                <w:rStyle w:val="Hyperlink"/>
              </w:rPr>
              <w:t>The role of the IESC</w:t>
            </w:r>
            <w:r w:rsidR="00C8365E">
              <w:rPr>
                <w:webHidden/>
              </w:rPr>
              <w:tab/>
            </w:r>
            <w:r w:rsidR="00C8365E">
              <w:rPr>
                <w:webHidden/>
              </w:rPr>
              <w:fldChar w:fldCharType="begin"/>
            </w:r>
            <w:r w:rsidR="00C8365E">
              <w:rPr>
                <w:webHidden/>
              </w:rPr>
              <w:instrText xml:space="preserve"> PAGEREF _Toc66967163 \h </w:instrText>
            </w:r>
            <w:r w:rsidR="00C8365E">
              <w:rPr>
                <w:webHidden/>
              </w:rPr>
            </w:r>
            <w:r w:rsidR="00C8365E">
              <w:rPr>
                <w:webHidden/>
              </w:rPr>
              <w:fldChar w:fldCharType="separate"/>
            </w:r>
            <w:r w:rsidR="00047351">
              <w:rPr>
                <w:webHidden/>
              </w:rPr>
              <w:t>4</w:t>
            </w:r>
            <w:r w:rsidR="00C8365E">
              <w:rPr>
                <w:webHidden/>
              </w:rPr>
              <w:fldChar w:fldCharType="end"/>
            </w:r>
          </w:hyperlink>
        </w:p>
        <w:p w14:paraId="1D8707B0" w14:textId="58D968E3" w:rsidR="00C8365E" w:rsidRDefault="00245460">
          <w:pPr>
            <w:pStyle w:val="TOC2"/>
            <w:rPr>
              <w:rFonts w:eastAsiaTheme="minorEastAsia" w:cstheme="minorBidi"/>
              <w:b w:val="0"/>
              <w:bCs w:val="0"/>
              <w:lang w:eastAsia="en-AU"/>
            </w:rPr>
          </w:pPr>
          <w:hyperlink w:anchor="_Toc66967164" w:history="1">
            <w:r w:rsidR="00C8365E" w:rsidRPr="00C959ED">
              <w:rPr>
                <w:rStyle w:val="Hyperlink"/>
              </w:rPr>
              <w:t>The purpose of the Explanatory Notes</w:t>
            </w:r>
            <w:r w:rsidR="00C8365E">
              <w:rPr>
                <w:webHidden/>
              </w:rPr>
              <w:tab/>
            </w:r>
            <w:r w:rsidR="00C8365E">
              <w:rPr>
                <w:webHidden/>
              </w:rPr>
              <w:fldChar w:fldCharType="begin"/>
            </w:r>
            <w:r w:rsidR="00C8365E">
              <w:rPr>
                <w:webHidden/>
              </w:rPr>
              <w:instrText xml:space="preserve"> PAGEREF _Toc66967164 \h </w:instrText>
            </w:r>
            <w:r w:rsidR="00C8365E">
              <w:rPr>
                <w:webHidden/>
              </w:rPr>
            </w:r>
            <w:r w:rsidR="00C8365E">
              <w:rPr>
                <w:webHidden/>
              </w:rPr>
              <w:fldChar w:fldCharType="separate"/>
            </w:r>
            <w:r w:rsidR="00047351">
              <w:rPr>
                <w:webHidden/>
              </w:rPr>
              <w:t>4</w:t>
            </w:r>
            <w:r w:rsidR="00C8365E">
              <w:rPr>
                <w:webHidden/>
              </w:rPr>
              <w:fldChar w:fldCharType="end"/>
            </w:r>
          </w:hyperlink>
        </w:p>
        <w:p w14:paraId="603EB9FC" w14:textId="4BE157C4" w:rsidR="00C8365E" w:rsidRDefault="00245460">
          <w:pPr>
            <w:pStyle w:val="TOC2"/>
            <w:rPr>
              <w:rFonts w:eastAsiaTheme="minorEastAsia" w:cstheme="minorBidi"/>
              <w:b w:val="0"/>
              <w:bCs w:val="0"/>
              <w:lang w:eastAsia="en-AU"/>
            </w:rPr>
          </w:pPr>
          <w:hyperlink w:anchor="_Toc66967165" w:history="1">
            <w:r w:rsidR="00C8365E" w:rsidRPr="00C959ED">
              <w:rPr>
                <w:rStyle w:val="Hyperlink"/>
              </w:rPr>
              <w:t>Legislative context</w:t>
            </w:r>
            <w:r w:rsidR="00C8365E">
              <w:rPr>
                <w:webHidden/>
              </w:rPr>
              <w:tab/>
            </w:r>
            <w:r w:rsidR="00C8365E">
              <w:rPr>
                <w:webHidden/>
              </w:rPr>
              <w:fldChar w:fldCharType="begin"/>
            </w:r>
            <w:r w:rsidR="00C8365E">
              <w:rPr>
                <w:webHidden/>
              </w:rPr>
              <w:instrText xml:space="preserve"> PAGEREF _Toc66967165 \h </w:instrText>
            </w:r>
            <w:r w:rsidR="00C8365E">
              <w:rPr>
                <w:webHidden/>
              </w:rPr>
            </w:r>
            <w:r w:rsidR="00C8365E">
              <w:rPr>
                <w:webHidden/>
              </w:rPr>
              <w:fldChar w:fldCharType="separate"/>
            </w:r>
            <w:r w:rsidR="00047351">
              <w:rPr>
                <w:webHidden/>
              </w:rPr>
              <w:t>4</w:t>
            </w:r>
            <w:r w:rsidR="00C8365E">
              <w:rPr>
                <w:webHidden/>
              </w:rPr>
              <w:fldChar w:fldCharType="end"/>
            </w:r>
          </w:hyperlink>
        </w:p>
        <w:p w14:paraId="6171EA96" w14:textId="1A819EF6" w:rsidR="00C8365E" w:rsidRDefault="00245460">
          <w:pPr>
            <w:pStyle w:val="TOC1"/>
            <w:rPr>
              <w:rFonts w:eastAsiaTheme="minorEastAsia" w:cstheme="minorBidi"/>
              <w:b w:val="0"/>
              <w:bCs w:val="0"/>
              <w:iCs w:val="0"/>
              <w:lang w:eastAsia="en-AU"/>
            </w:rPr>
          </w:pPr>
          <w:hyperlink w:anchor="_Toc66967166" w:history="1">
            <w:r w:rsidR="00C8365E" w:rsidRPr="00C959ED">
              <w:rPr>
                <w:rStyle w:val="Hyperlink"/>
              </w:rPr>
              <w:t>Executive Summary</w:t>
            </w:r>
            <w:r w:rsidR="00C8365E">
              <w:rPr>
                <w:webHidden/>
              </w:rPr>
              <w:tab/>
            </w:r>
            <w:r w:rsidR="00C8365E">
              <w:rPr>
                <w:webHidden/>
              </w:rPr>
              <w:fldChar w:fldCharType="begin"/>
            </w:r>
            <w:r w:rsidR="00C8365E">
              <w:rPr>
                <w:webHidden/>
              </w:rPr>
              <w:instrText xml:space="preserve"> PAGEREF _Toc66967166 \h </w:instrText>
            </w:r>
            <w:r w:rsidR="00C8365E">
              <w:rPr>
                <w:webHidden/>
              </w:rPr>
            </w:r>
            <w:r w:rsidR="00C8365E">
              <w:rPr>
                <w:webHidden/>
              </w:rPr>
              <w:fldChar w:fldCharType="separate"/>
            </w:r>
            <w:r w:rsidR="00047351">
              <w:rPr>
                <w:webHidden/>
              </w:rPr>
              <w:t>7</w:t>
            </w:r>
            <w:r w:rsidR="00C8365E">
              <w:rPr>
                <w:webHidden/>
              </w:rPr>
              <w:fldChar w:fldCharType="end"/>
            </w:r>
          </w:hyperlink>
        </w:p>
        <w:p w14:paraId="6A4167DD" w14:textId="3BC884D4" w:rsidR="00C8365E" w:rsidRDefault="00245460">
          <w:pPr>
            <w:pStyle w:val="TOC1"/>
            <w:rPr>
              <w:rFonts w:eastAsiaTheme="minorEastAsia" w:cstheme="minorBidi"/>
              <w:b w:val="0"/>
              <w:bCs w:val="0"/>
              <w:iCs w:val="0"/>
              <w:lang w:eastAsia="en-AU"/>
            </w:rPr>
          </w:pPr>
          <w:hyperlink w:anchor="_Toc66967167" w:history="1">
            <w:r w:rsidR="00C8365E" w:rsidRPr="00C959ED">
              <w:rPr>
                <w:rStyle w:val="Hyperlink"/>
              </w:rPr>
              <w:t>1.</w:t>
            </w:r>
            <w:r w:rsidR="00C8365E">
              <w:rPr>
                <w:rFonts w:eastAsiaTheme="minorEastAsia" w:cstheme="minorBidi"/>
                <w:b w:val="0"/>
                <w:bCs w:val="0"/>
                <w:iCs w:val="0"/>
                <w:lang w:eastAsia="en-AU"/>
              </w:rPr>
              <w:tab/>
            </w:r>
            <w:r w:rsidR="00C8365E" w:rsidRPr="00C959ED">
              <w:rPr>
                <w:rStyle w:val="Hyperlink"/>
              </w:rPr>
              <w:t>Introduction</w:t>
            </w:r>
            <w:r w:rsidR="00C8365E">
              <w:rPr>
                <w:webHidden/>
              </w:rPr>
              <w:tab/>
            </w:r>
            <w:r w:rsidR="00C8365E">
              <w:rPr>
                <w:webHidden/>
              </w:rPr>
              <w:fldChar w:fldCharType="begin"/>
            </w:r>
            <w:r w:rsidR="00C8365E">
              <w:rPr>
                <w:webHidden/>
              </w:rPr>
              <w:instrText xml:space="preserve"> PAGEREF _Toc66967167 \h </w:instrText>
            </w:r>
            <w:r w:rsidR="00C8365E">
              <w:rPr>
                <w:webHidden/>
              </w:rPr>
            </w:r>
            <w:r w:rsidR="00C8365E">
              <w:rPr>
                <w:webHidden/>
              </w:rPr>
              <w:fldChar w:fldCharType="separate"/>
            </w:r>
            <w:r w:rsidR="00047351">
              <w:rPr>
                <w:webHidden/>
              </w:rPr>
              <w:t>11</w:t>
            </w:r>
            <w:r w:rsidR="00C8365E">
              <w:rPr>
                <w:webHidden/>
              </w:rPr>
              <w:fldChar w:fldCharType="end"/>
            </w:r>
          </w:hyperlink>
        </w:p>
        <w:p w14:paraId="6A3A6E49" w14:textId="11361C2A" w:rsidR="00C8365E" w:rsidRDefault="00245460">
          <w:pPr>
            <w:pStyle w:val="TOC2"/>
            <w:rPr>
              <w:rFonts w:eastAsiaTheme="minorEastAsia" w:cstheme="minorBidi"/>
              <w:b w:val="0"/>
              <w:bCs w:val="0"/>
              <w:lang w:eastAsia="en-AU"/>
            </w:rPr>
          </w:pPr>
          <w:hyperlink w:anchor="_Toc66967168" w:history="1">
            <w:r w:rsidR="00C8365E" w:rsidRPr="00C959ED">
              <w:rPr>
                <w:rStyle w:val="Hyperlink"/>
              </w:rPr>
              <w:t>1.1.</w:t>
            </w:r>
            <w:r w:rsidR="00C8365E">
              <w:rPr>
                <w:rFonts w:eastAsiaTheme="minorEastAsia" w:cstheme="minorBidi"/>
                <w:b w:val="0"/>
                <w:bCs w:val="0"/>
                <w:lang w:eastAsia="en-AU"/>
              </w:rPr>
              <w:tab/>
            </w:r>
            <w:r w:rsidR="00C8365E" w:rsidRPr="00C959ED">
              <w:rPr>
                <w:rStyle w:val="Hyperlink"/>
              </w:rPr>
              <w:t>Why do faults matter?</w:t>
            </w:r>
            <w:r w:rsidR="00C8365E">
              <w:rPr>
                <w:webHidden/>
              </w:rPr>
              <w:tab/>
            </w:r>
            <w:r w:rsidR="00C8365E">
              <w:rPr>
                <w:webHidden/>
              </w:rPr>
              <w:fldChar w:fldCharType="begin"/>
            </w:r>
            <w:r w:rsidR="00C8365E">
              <w:rPr>
                <w:webHidden/>
              </w:rPr>
              <w:instrText xml:space="preserve"> PAGEREF _Toc66967168 \h </w:instrText>
            </w:r>
            <w:r w:rsidR="00C8365E">
              <w:rPr>
                <w:webHidden/>
              </w:rPr>
            </w:r>
            <w:r w:rsidR="00C8365E">
              <w:rPr>
                <w:webHidden/>
              </w:rPr>
              <w:fldChar w:fldCharType="separate"/>
            </w:r>
            <w:r w:rsidR="00047351">
              <w:rPr>
                <w:webHidden/>
              </w:rPr>
              <w:t>11</w:t>
            </w:r>
            <w:r w:rsidR="00C8365E">
              <w:rPr>
                <w:webHidden/>
              </w:rPr>
              <w:fldChar w:fldCharType="end"/>
            </w:r>
          </w:hyperlink>
        </w:p>
        <w:p w14:paraId="5EA5E107" w14:textId="1BD18CA5" w:rsidR="00C8365E" w:rsidRDefault="00245460">
          <w:pPr>
            <w:pStyle w:val="TOC2"/>
            <w:rPr>
              <w:rFonts w:eastAsiaTheme="minorEastAsia" w:cstheme="minorBidi"/>
              <w:b w:val="0"/>
              <w:bCs w:val="0"/>
              <w:lang w:eastAsia="en-AU"/>
            </w:rPr>
          </w:pPr>
          <w:hyperlink w:anchor="_Toc66967169" w:history="1">
            <w:r w:rsidR="00C8365E" w:rsidRPr="00C959ED">
              <w:rPr>
                <w:rStyle w:val="Hyperlink"/>
              </w:rPr>
              <w:t>1.2.</w:t>
            </w:r>
            <w:r w:rsidR="00C8365E">
              <w:rPr>
                <w:rFonts w:eastAsiaTheme="minorEastAsia" w:cstheme="minorBidi"/>
                <w:b w:val="0"/>
                <w:bCs w:val="0"/>
                <w:lang w:eastAsia="en-AU"/>
              </w:rPr>
              <w:tab/>
            </w:r>
            <w:r w:rsidR="00C8365E" w:rsidRPr="00C959ED">
              <w:rPr>
                <w:rStyle w:val="Hyperlink"/>
              </w:rPr>
              <w:t>Aquitard integrity</w:t>
            </w:r>
            <w:r w:rsidR="00C8365E">
              <w:rPr>
                <w:webHidden/>
              </w:rPr>
              <w:tab/>
            </w:r>
            <w:r w:rsidR="00C8365E">
              <w:rPr>
                <w:webHidden/>
              </w:rPr>
              <w:fldChar w:fldCharType="begin"/>
            </w:r>
            <w:r w:rsidR="00C8365E">
              <w:rPr>
                <w:webHidden/>
              </w:rPr>
              <w:instrText xml:space="preserve"> PAGEREF _Toc66967169 \h </w:instrText>
            </w:r>
            <w:r w:rsidR="00C8365E">
              <w:rPr>
                <w:webHidden/>
              </w:rPr>
            </w:r>
            <w:r w:rsidR="00C8365E">
              <w:rPr>
                <w:webHidden/>
              </w:rPr>
              <w:fldChar w:fldCharType="separate"/>
            </w:r>
            <w:r w:rsidR="00047351">
              <w:rPr>
                <w:webHidden/>
              </w:rPr>
              <w:t>12</w:t>
            </w:r>
            <w:r w:rsidR="00C8365E">
              <w:rPr>
                <w:webHidden/>
              </w:rPr>
              <w:fldChar w:fldCharType="end"/>
            </w:r>
          </w:hyperlink>
        </w:p>
        <w:p w14:paraId="1CB6A2B6" w14:textId="08BD3D68" w:rsidR="00C8365E" w:rsidRDefault="00245460">
          <w:pPr>
            <w:pStyle w:val="TOC2"/>
            <w:rPr>
              <w:rFonts w:eastAsiaTheme="minorEastAsia" w:cstheme="minorBidi"/>
              <w:b w:val="0"/>
              <w:bCs w:val="0"/>
              <w:lang w:eastAsia="en-AU"/>
            </w:rPr>
          </w:pPr>
          <w:hyperlink w:anchor="_Toc66967170" w:history="1">
            <w:r w:rsidR="00C8365E" w:rsidRPr="00C959ED">
              <w:rPr>
                <w:rStyle w:val="Hyperlink"/>
              </w:rPr>
              <w:t>1.3.</w:t>
            </w:r>
            <w:r w:rsidR="00C8365E">
              <w:rPr>
                <w:rFonts w:eastAsiaTheme="minorEastAsia" w:cstheme="minorBidi"/>
                <w:b w:val="0"/>
                <w:bCs w:val="0"/>
                <w:lang w:eastAsia="en-AU"/>
              </w:rPr>
              <w:tab/>
            </w:r>
            <w:r w:rsidR="00C8365E" w:rsidRPr="00C959ED">
              <w:rPr>
                <w:rStyle w:val="Hyperlink"/>
              </w:rPr>
              <w:t>Assessing the potential risks due to faults</w:t>
            </w:r>
            <w:r w:rsidR="00C8365E">
              <w:rPr>
                <w:webHidden/>
              </w:rPr>
              <w:tab/>
            </w:r>
            <w:r w:rsidR="00C8365E">
              <w:rPr>
                <w:webHidden/>
              </w:rPr>
              <w:fldChar w:fldCharType="begin"/>
            </w:r>
            <w:r w:rsidR="00C8365E">
              <w:rPr>
                <w:webHidden/>
              </w:rPr>
              <w:instrText xml:space="preserve"> PAGEREF _Toc66967170 \h </w:instrText>
            </w:r>
            <w:r w:rsidR="00C8365E">
              <w:rPr>
                <w:webHidden/>
              </w:rPr>
            </w:r>
            <w:r w:rsidR="00C8365E">
              <w:rPr>
                <w:webHidden/>
              </w:rPr>
              <w:fldChar w:fldCharType="separate"/>
            </w:r>
            <w:r w:rsidR="00047351">
              <w:rPr>
                <w:webHidden/>
              </w:rPr>
              <w:t>13</w:t>
            </w:r>
            <w:r w:rsidR="00C8365E">
              <w:rPr>
                <w:webHidden/>
              </w:rPr>
              <w:fldChar w:fldCharType="end"/>
            </w:r>
          </w:hyperlink>
        </w:p>
        <w:p w14:paraId="258CD970" w14:textId="3AAEF839" w:rsidR="00C8365E" w:rsidRDefault="00245460">
          <w:pPr>
            <w:pStyle w:val="TOC2"/>
            <w:rPr>
              <w:rFonts w:eastAsiaTheme="minorEastAsia" w:cstheme="minorBidi"/>
              <w:b w:val="0"/>
              <w:bCs w:val="0"/>
              <w:lang w:eastAsia="en-AU"/>
            </w:rPr>
          </w:pPr>
          <w:hyperlink w:anchor="_Toc66967171" w:history="1">
            <w:r w:rsidR="00C8365E" w:rsidRPr="00C959ED">
              <w:rPr>
                <w:rStyle w:val="Hyperlink"/>
              </w:rPr>
              <w:t>1.4.</w:t>
            </w:r>
            <w:r w:rsidR="00C8365E">
              <w:rPr>
                <w:rFonts w:eastAsiaTheme="minorEastAsia" w:cstheme="minorBidi"/>
                <w:b w:val="0"/>
                <w:bCs w:val="0"/>
                <w:lang w:eastAsia="en-AU"/>
              </w:rPr>
              <w:tab/>
            </w:r>
            <w:r w:rsidR="00C8365E" w:rsidRPr="00C959ED">
              <w:rPr>
                <w:rStyle w:val="Hyperlink"/>
              </w:rPr>
              <w:t>Objectives of this Explanatory Note</w:t>
            </w:r>
            <w:r w:rsidR="00C8365E">
              <w:rPr>
                <w:webHidden/>
              </w:rPr>
              <w:tab/>
            </w:r>
            <w:r w:rsidR="00C8365E">
              <w:rPr>
                <w:webHidden/>
              </w:rPr>
              <w:fldChar w:fldCharType="begin"/>
            </w:r>
            <w:r w:rsidR="00C8365E">
              <w:rPr>
                <w:webHidden/>
              </w:rPr>
              <w:instrText xml:space="preserve"> PAGEREF _Toc66967171 \h </w:instrText>
            </w:r>
            <w:r w:rsidR="00C8365E">
              <w:rPr>
                <w:webHidden/>
              </w:rPr>
            </w:r>
            <w:r w:rsidR="00C8365E">
              <w:rPr>
                <w:webHidden/>
              </w:rPr>
              <w:fldChar w:fldCharType="separate"/>
            </w:r>
            <w:r w:rsidR="00047351">
              <w:rPr>
                <w:webHidden/>
              </w:rPr>
              <w:t>14</w:t>
            </w:r>
            <w:r w:rsidR="00C8365E">
              <w:rPr>
                <w:webHidden/>
              </w:rPr>
              <w:fldChar w:fldCharType="end"/>
            </w:r>
          </w:hyperlink>
        </w:p>
        <w:p w14:paraId="277E75CE" w14:textId="63C2805D" w:rsidR="00C8365E" w:rsidRDefault="00245460">
          <w:pPr>
            <w:pStyle w:val="TOC2"/>
            <w:rPr>
              <w:rFonts w:eastAsiaTheme="minorEastAsia" w:cstheme="minorBidi"/>
              <w:b w:val="0"/>
              <w:bCs w:val="0"/>
              <w:lang w:eastAsia="en-AU"/>
            </w:rPr>
          </w:pPr>
          <w:hyperlink w:anchor="_Toc66967172" w:history="1">
            <w:r w:rsidR="00C8365E" w:rsidRPr="00C959ED">
              <w:rPr>
                <w:rStyle w:val="Hyperlink"/>
              </w:rPr>
              <w:t>1.5.</w:t>
            </w:r>
            <w:r w:rsidR="00C8365E">
              <w:rPr>
                <w:rFonts w:eastAsiaTheme="minorEastAsia" w:cstheme="minorBidi"/>
                <w:b w:val="0"/>
                <w:bCs w:val="0"/>
                <w:lang w:eastAsia="en-AU"/>
              </w:rPr>
              <w:tab/>
            </w:r>
            <w:r w:rsidR="00C8365E" w:rsidRPr="00C959ED">
              <w:rPr>
                <w:rStyle w:val="Hyperlink"/>
              </w:rPr>
              <w:t>Structure of this Explanatory Note</w:t>
            </w:r>
            <w:r w:rsidR="00C8365E">
              <w:rPr>
                <w:webHidden/>
              </w:rPr>
              <w:tab/>
            </w:r>
            <w:r w:rsidR="00C8365E">
              <w:rPr>
                <w:webHidden/>
              </w:rPr>
              <w:fldChar w:fldCharType="begin"/>
            </w:r>
            <w:r w:rsidR="00C8365E">
              <w:rPr>
                <w:webHidden/>
              </w:rPr>
              <w:instrText xml:space="preserve"> PAGEREF _Toc66967172 \h </w:instrText>
            </w:r>
            <w:r w:rsidR="00C8365E">
              <w:rPr>
                <w:webHidden/>
              </w:rPr>
            </w:r>
            <w:r w:rsidR="00C8365E">
              <w:rPr>
                <w:webHidden/>
              </w:rPr>
              <w:fldChar w:fldCharType="separate"/>
            </w:r>
            <w:r w:rsidR="00047351">
              <w:rPr>
                <w:webHidden/>
              </w:rPr>
              <w:t>15</w:t>
            </w:r>
            <w:r w:rsidR="00C8365E">
              <w:rPr>
                <w:webHidden/>
              </w:rPr>
              <w:fldChar w:fldCharType="end"/>
            </w:r>
          </w:hyperlink>
        </w:p>
        <w:p w14:paraId="397A2AB1" w14:textId="5A598BE2" w:rsidR="00C8365E" w:rsidRDefault="00245460">
          <w:pPr>
            <w:pStyle w:val="TOC1"/>
            <w:rPr>
              <w:rFonts w:eastAsiaTheme="minorEastAsia" w:cstheme="minorBidi"/>
              <w:b w:val="0"/>
              <w:bCs w:val="0"/>
              <w:iCs w:val="0"/>
              <w:lang w:eastAsia="en-AU"/>
            </w:rPr>
          </w:pPr>
          <w:hyperlink w:anchor="_Toc66967173" w:history="1">
            <w:r w:rsidR="00C8365E" w:rsidRPr="00C959ED">
              <w:rPr>
                <w:rStyle w:val="Hyperlink"/>
              </w:rPr>
              <w:t>2.</w:t>
            </w:r>
            <w:r w:rsidR="00C8365E">
              <w:rPr>
                <w:rFonts w:eastAsiaTheme="minorEastAsia" w:cstheme="minorBidi"/>
                <w:b w:val="0"/>
                <w:bCs w:val="0"/>
                <w:iCs w:val="0"/>
                <w:lang w:eastAsia="en-AU"/>
              </w:rPr>
              <w:tab/>
            </w:r>
            <w:r w:rsidR="00C8365E" w:rsidRPr="00C959ED">
              <w:rPr>
                <w:rStyle w:val="Hyperlink"/>
              </w:rPr>
              <w:t>Faults: data sources, definitions, and geometry</w:t>
            </w:r>
            <w:r w:rsidR="00C8365E">
              <w:rPr>
                <w:webHidden/>
              </w:rPr>
              <w:tab/>
            </w:r>
            <w:r w:rsidR="00C8365E">
              <w:rPr>
                <w:webHidden/>
              </w:rPr>
              <w:fldChar w:fldCharType="begin"/>
            </w:r>
            <w:r w:rsidR="00C8365E">
              <w:rPr>
                <w:webHidden/>
              </w:rPr>
              <w:instrText xml:space="preserve"> PAGEREF _Toc66967173 \h </w:instrText>
            </w:r>
            <w:r w:rsidR="00C8365E">
              <w:rPr>
                <w:webHidden/>
              </w:rPr>
            </w:r>
            <w:r w:rsidR="00C8365E">
              <w:rPr>
                <w:webHidden/>
              </w:rPr>
              <w:fldChar w:fldCharType="separate"/>
            </w:r>
            <w:r w:rsidR="00047351">
              <w:rPr>
                <w:webHidden/>
              </w:rPr>
              <w:t>16</w:t>
            </w:r>
            <w:r w:rsidR="00C8365E">
              <w:rPr>
                <w:webHidden/>
              </w:rPr>
              <w:fldChar w:fldCharType="end"/>
            </w:r>
          </w:hyperlink>
        </w:p>
        <w:p w14:paraId="1EC48D63" w14:textId="2AB6936F" w:rsidR="00C8365E" w:rsidRDefault="00245460">
          <w:pPr>
            <w:pStyle w:val="TOC2"/>
            <w:rPr>
              <w:rFonts w:eastAsiaTheme="minorEastAsia" w:cstheme="minorBidi"/>
              <w:b w:val="0"/>
              <w:bCs w:val="0"/>
              <w:lang w:eastAsia="en-AU"/>
            </w:rPr>
          </w:pPr>
          <w:hyperlink w:anchor="_Toc66967174" w:history="1">
            <w:r w:rsidR="00C8365E" w:rsidRPr="00C959ED">
              <w:rPr>
                <w:rStyle w:val="Hyperlink"/>
              </w:rPr>
              <w:t>2.1.</w:t>
            </w:r>
            <w:r w:rsidR="00C8365E">
              <w:rPr>
                <w:rFonts w:eastAsiaTheme="minorEastAsia" w:cstheme="minorBidi"/>
                <w:b w:val="0"/>
                <w:bCs w:val="0"/>
                <w:lang w:eastAsia="en-AU"/>
              </w:rPr>
              <w:tab/>
            </w:r>
            <w:r w:rsidR="00C8365E" w:rsidRPr="00C959ED">
              <w:rPr>
                <w:rStyle w:val="Hyperlink"/>
              </w:rPr>
              <w:t>Data Sources</w:t>
            </w:r>
            <w:r w:rsidR="00C8365E">
              <w:rPr>
                <w:webHidden/>
              </w:rPr>
              <w:tab/>
            </w:r>
            <w:r w:rsidR="00C8365E">
              <w:rPr>
                <w:webHidden/>
              </w:rPr>
              <w:fldChar w:fldCharType="begin"/>
            </w:r>
            <w:r w:rsidR="00C8365E">
              <w:rPr>
                <w:webHidden/>
              </w:rPr>
              <w:instrText xml:space="preserve"> PAGEREF _Toc66967174 \h </w:instrText>
            </w:r>
            <w:r w:rsidR="00C8365E">
              <w:rPr>
                <w:webHidden/>
              </w:rPr>
            </w:r>
            <w:r w:rsidR="00C8365E">
              <w:rPr>
                <w:webHidden/>
              </w:rPr>
              <w:fldChar w:fldCharType="separate"/>
            </w:r>
            <w:r w:rsidR="00047351">
              <w:rPr>
                <w:webHidden/>
              </w:rPr>
              <w:t>16</w:t>
            </w:r>
            <w:r w:rsidR="00C8365E">
              <w:rPr>
                <w:webHidden/>
              </w:rPr>
              <w:fldChar w:fldCharType="end"/>
            </w:r>
          </w:hyperlink>
        </w:p>
        <w:p w14:paraId="7570D492" w14:textId="51268C93" w:rsidR="00C8365E" w:rsidRDefault="00245460">
          <w:pPr>
            <w:pStyle w:val="TOC3"/>
            <w:rPr>
              <w:rFonts w:eastAsiaTheme="minorEastAsia" w:cstheme="minorBidi"/>
              <w:sz w:val="22"/>
              <w:szCs w:val="22"/>
              <w:lang w:eastAsia="en-AU"/>
            </w:rPr>
          </w:pPr>
          <w:hyperlink w:anchor="_Toc66967175" w:history="1">
            <w:r w:rsidR="00C8365E" w:rsidRPr="00C959ED">
              <w:rPr>
                <w:rStyle w:val="Hyperlink"/>
              </w:rPr>
              <w:t>2.1.1.</w:t>
            </w:r>
            <w:r w:rsidR="00C8365E">
              <w:rPr>
                <w:rFonts w:eastAsiaTheme="minorEastAsia" w:cstheme="minorBidi"/>
                <w:sz w:val="22"/>
                <w:szCs w:val="22"/>
                <w:lang w:eastAsia="en-AU"/>
              </w:rPr>
              <w:tab/>
            </w:r>
            <w:r w:rsidR="00C8365E" w:rsidRPr="00C959ED">
              <w:rPr>
                <w:rStyle w:val="Hyperlink"/>
              </w:rPr>
              <w:t>Geologic stratigraphy and mappable rock units</w:t>
            </w:r>
            <w:r w:rsidR="00C8365E">
              <w:rPr>
                <w:webHidden/>
              </w:rPr>
              <w:tab/>
            </w:r>
            <w:r w:rsidR="00C8365E">
              <w:rPr>
                <w:webHidden/>
              </w:rPr>
              <w:fldChar w:fldCharType="begin"/>
            </w:r>
            <w:r w:rsidR="00C8365E">
              <w:rPr>
                <w:webHidden/>
              </w:rPr>
              <w:instrText xml:space="preserve"> PAGEREF _Toc66967175 \h </w:instrText>
            </w:r>
            <w:r w:rsidR="00C8365E">
              <w:rPr>
                <w:webHidden/>
              </w:rPr>
            </w:r>
            <w:r w:rsidR="00C8365E">
              <w:rPr>
                <w:webHidden/>
              </w:rPr>
              <w:fldChar w:fldCharType="separate"/>
            </w:r>
            <w:r w:rsidR="00047351">
              <w:rPr>
                <w:webHidden/>
              </w:rPr>
              <w:t>16</w:t>
            </w:r>
            <w:r w:rsidR="00C8365E">
              <w:rPr>
                <w:webHidden/>
              </w:rPr>
              <w:fldChar w:fldCharType="end"/>
            </w:r>
          </w:hyperlink>
        </w:p>
        <w:p w14:paraId="0497DB6E" w14:textId="4501429C" w:rsidR="00C8365E" w:rsidRDefault="00245460">
          <w:pPr>
            <w:pStyle w:val="TOC3"/>
            <w:rPr>
              <w:rFonts w:eastAsiaTheme="minorEastAsia" w:cstheme="minorBidi"/>
              <w:sz w:val="22"/>
              <w:szCs w:val="22"/>
              <w:lang w:eastAsia="en-AU"/>
            </w:rPr>
          </w:pPr>
          <w:hyperlink w:anchor="_Toc66967176" w:history="1">
            <w:r w:rsidR="00C8365E" w:rsidRPr="00C959ED">
              <w:rPr>
                <w:rStyle w:val="Hyperlink"/>
              </w:rPr>
              <w:t>2.1.2.</w:t>
            </w:r>
            <w:r w:rsidR="00C8365E">
              <w:rPr>
                <w:rFonts w:eastAsiaTheme="minorEastAsia" w:cstheme="minorBidi"/>
                <w:sz w:val="22"/>
                <w:szCs w:val="22"/>
                <w:lang w:eastAsia="en-AU"/>
              </w:rPr>
              <w:tab/>
            </w:r>
            <w:r w:rsidR="00C8365E" w:rsidRPr="00C959ED">
              <w:rPr>
                <w:rStyle w:val="Hyperlink"/>
              </w:rPr>
              <w:t>Regional-scale geological mapping, interpretation, and public domain data</w:t>
            </w:r>
            <w:r w:rsidR="00C8365E">
              <w:rPr>
                <w:webHidden/>
              </w:rPr>
              <w:tab/>
            </w:r>
            <w:r w:rsidR="00C8365E">
              <w:rPr>
                <w:webHidden/>
              </w:rPr>
              <w:fldChar w:fldCharType="begin"/>
            </w:r>
            <w:r w:rsidR="00C8365E">
              <w:rPr>
                <w:webHidden/>
              </w:rPr>
              <w:instrText xml:space="preserve"> PAGEREF _Toc66967176 \h </w:instrText>
            </w:r>
            <w:r w:rsidR="00C8365E">
              <w:rPr>
                <w:webHidden/>
              </w:rPr>
            </w:r>
            <w:r w:rsidR="00C8365E">
              <w:rPr>
                <w:webHidden/>
              </w:rPr>
              <w:fldChar w:fldCharType="separate"/>
            </w:r>
            <w:r w:rsidR="00047351">
              <w:rPr>
                <w:webHidden/>
              </w:rPr>
              <w:t>17</w:t>
            </w:r>
            <w:r w:rsidR="00C8365E">
              <w:rPr>
                <w:webHidden/>
              </w:rPr>
              <w:fldChar w:fldCharType="end"/>
            </w:r>
          </w:hyperlink>
        </w:p>
        <w:p w14:paraId="50C9BE23" w14:textId="30B0A1DE" w:rsidR="00C8365E" w:rsidRDefault="00245460">
          <w:pPr>
            <w:pStyle w:val="TOC3"/>
            <w:rPr>
              <w:rFonts w:eastAsiaTheme="minorEastAsia" w:cstheme="minorBidi"/>
              <w:sz w:val="22"/>
              <w:szCs w:val="22"/>
              <w:lang w:eastAsia="en-AU"/>
            </w:rPr>
          </w:pPr>
          <w:hyperlink w:anchor="_Toc66967177" w:history="1">
            <w:r w:rsidR="00C8365E" w:rsidRPr="00C959ED">
              <w:rPr>
                <w:rStyle w:val="Hyperlink"/>
              </w:rPr>
              <w:t>2.1.3.</w:t>
            </w:r>
            <w:r w:rsidR="00C8365E">
              <w:rPr>
                <w:rFonts w:eastAsiaTheme="minorEastAsia" w:cstheme="minorBidi"/>
                <w:sz w:val="22"/>
                <w:szCs w:val="22"/>
                <w:lang w:eastAsia="en-AU"/>
              </w:rPr>
              <w:tab/>
            </w:r>
            <w:r w:rsidR="00C8365E" w:rsidRPr="00C959ED">
              <w:rPr>
                <w:rStyle w:val="Hyperlink"/>
              </w:rPr>
              <w:t>Aerial photography, topography and LIDAR</w:t>
            </w:r>
            <w:r w:rsidR="00C8365E">
              <w:rPr>
                <w:webHidden/>
              </w:rPr>
              <w:tab/>
            </w:r>
            <w:r w:rsidR="00C8365E">
              <w:rPr>
                <w:webHidden/>
              </w:rPr>
              <w:fldChar w:fldCharType="begin"/>
            </w:r>
            <w:r w:rsidR="00C8365E">
              <w:rPr>
                <w:webHidden/>
              </w:rPr>
              <w:instrText xml:space="preserve"> PAGEREF _Toc66967177 \h </w:instrText>
            </w:r>
            <w:r w:rsidR="00C8365E">
              <w:rPr>
                <w:webHidden/>
              </w:rPr>
            </w:r>
            <w:r w:rsidR="00C8365E">
              <w:rPr>
                <w:webHidden/>
              </w:rPr>
              <w:fldChar w:fldCharType="separate"/>
            </w:r>
            <w:r w:rsidR="00047351">
              <w:rPr>
                <w:webHidden/>
              </w:rPr>
              <w:t>18</w:t>
            </w:r>
            <w:r w:rsidR="00C8365E">
              <w:rPr>
                <w:webHidden/>
              </w:rPr>
              <w:fldChar w:fldCharType="end"/>
            </w:r>
          </w:hyperlink>
        </w:p>
        <w:p w14:paraId="669020E0" w14:textId="12B4E989" w:rsidR="00C8365E" w:rsidRDefault="00245460">
          <w:pPr>
            <w:pStyle w:val="TOC3"/>
            <w:rPr>
              <w:rFonts w:eastAsiaTheme="minorEastAsia" w:cstheme="minorBidi"/>
              <w:sz w:val="22"/>
              <w:szCs w:val="22"/>
              <w:lang w:eastAsia="en-AU"/>
            </w:rPr>
          </w:pPr>
          <w:hyperlink w:anchor="_Toc66967178" w:history="1">
            <w:r w:rsidR="00C8365E" w:rsidRPr="00C959ED">
              <w:rPr>
                <w:rStyle w:val="Hyperlink"/>
              </w:rPr>
              <w:t>2.1.4.</w:t>
            </w:r>
            <w:r w:rsidR="00C8365E">
              <w:rPr>
                <w:rFonts w:eastAsiaTheme="minorEastAsia" w:cstheme="minorBidi"/>
                <w:sz w:val="22"/>
                <w:szCs w:val="22"/>
                <w:lang w:eastAsia="en-AU"/>
              </w:rPr>
              <w:tab/>
            </w:r>
            <w:r w:rsidR="00C8365E" w:rsidRPr="00C959ED">
              <w:rPr>
                <w:rStyle w:val="Hyperlink"/>
              </w:rPr>
              <w:t>Outcrop geological mapping</w:t>
            </w:r>
            <w:r w:rsidR="00C8365E">
              <w:rPr>
                <w:webHidden/>
              </w:rPr>
              <w:tab/>
            </w:r>
            <w:r w:rsidR="00C8365E">
              <w:rPr>
                <w:webHidden/>
              </w:rPr>
              <w:fldChar w:fldCharType="begin"/>
            </w:r>
            <w:r w:rsidR="00C8365E">
              <w:rPr>
                <w:webHidden/>
              </w:rPr>
              <w:instrText xml:space="preserve"> PAGEREF _Toc66967178 \h </w:instrText>
            </w:r>
            <w:r w:rsidR="00C8365E">
              <w:rPr>
                <w:webHidden/>
              </w:rPr>
            </w:r>
            <w:r w:rsidR="00C8365E">
              <w:rPr>
                <w:webHidden/>
              </w:rPr>
              <w:fldChar w:fldCharType="separate"/>
            </w:r>
            <w:r w:rsidR="00047351">
              <w:rPr>
                <w:webHidden/>
              </w:rPr>
              <w:t>18</w:t>
            </w:r>
            <w:r w:rsidR="00C8365E">
              <w:rPr>
                <w:webHidden/>
              </w:rPr>
              <w:fldChar w:fldCharType="end"/>
            </w:r>
          </w:hyperlink>
        </w:p>
        <w:p w14:paraId="424A1B40" w14:textId="7CE66EF4" w:rsidR="00C8365E" w:rsidRDefault="00245460">
          <w:pPr>
            <w:pStyle w:val="TOC3"/>
            <w:rPr>
              <w:rFonts w:eastAsiaTheme="minorEastAsia" w:cstheme="minorBidi"/>
              <w:sz w:val="22"/>
              <w:szCs w:val="22"/>
              <w:lang w:eastAsia="en-AU"/>
            </w:rPr>
          </w:pPr>
          <w:hyperlink w:anchor="_Toc66967179" w:history="1">
            <w:r w:rsidR="00C8365E" w:rsidRPr="00C959ED">
              <w:rPr>
                <w:rStyle w:val="Hyperlink"/>
              </w:rPr>
              <w:t>2.1.5.</w:t>
            </w:r>
            <w:r w:rsidR="00C8365E">
              <w:rPr>
                <w:rFonts w:eastAsiaTheme="minorEastAsia" w:cstheme="minorBidi"/>
                <w:sz w:val="22"/>
                <w:szCs w:val="22"/>
                <w:lang w:eastAsia="en-AU"/>
              </w:rPr>
              <w:tab/>
            </w:r>
            <w:r w:rsidR="00C8365E" w:rsidRPr="00C959ED">
              <w:rPr>
                <w:rStyle w:val="Hyperlink"/>
              </w:rPr>
              <w:t>Pit and underground mapping</w:t>
            </w:r>
            <w:r w:rsidR="00C8365E">
              <w:rPr>
                <w:webHidden/>
              </w:rPr>
              <w:tab/>
            </w:r>
            <w:r w:rsidR="00C8365E">
              <w:rPr>
                <w:webHidden/>
              </w:rPr>
              <w:fldChar w:fldCharType="begin"/>
            </w:r>
            <w:r w:rsidR="00C8365E">
              <w:rPr>
                <w:webHidden/>
              </w:rPr>
              <w:instrText xml:space="preserve"> PAGEREF _Toc66967179 \h </w:instrText>
            </w:r>
            <w:r w:rsidR="00C8365E">
              <w:rPr>
                <w:webHidden/>
              </w:rPr>
            </w:r>
            <w:r w:rsidR="00C8365E">
              <w:rPr>
                <w:webHidden/>
              </w:rPr>
              <w:fldChar w:fldCharType="separate"/>
            </w:r>
            <w:r w:rsidR="00047351">
              <w:rPr>
                <w:webHidden/>
              </w:rPr>
              <w:t>18</w:t>
            </w:r>
            <w:r w:rsidR="00C8365E">
              <w:rPr>
                <w:webHidden/>
              </w:rPr>
              <w:fldChar w:fldCharType="end"/>
            </w:r>
          </w:hyperlink>
        </w:p>
        <w:p w14:paraId="300432FA" w14:textId="195D820B" w:rsidR="00C8365E" w:rsidRDefault="00245460">
          <w:pPr>
            <w:pStyle w:val="TOC3"/>
            <w:rPr>
              <w:rFonts w:eastAsiaTheme="minorEastAsia" w:cstheme="minorBidi"/>
              <w:sz w:val="22"/>
              <w:szCs w:val="22"/>
              <w:lang w:eastAsia="en-AU"/>
            </w:rPr>
          </w:pPr>
          <w:hyperlink w:anchor="_Toc66967180" w:history="1">
            <w:r w:rsidR="00C8365E" w:rsidRPr="00C959ED">
              <w:rPr>
                <w:rStyle w:val="Hyperlink"/>
              </w:rPr>
              <w:t>2.1.6.</w:t>
            </w:r>
            <w:r w:rsidR="00C8365E">
              <w:rPr>
                <w:rFonts w:eastAsiaTheme="minorEastAsia" w:cstheme="minorBidi"/>
                <w:sz w:val="22"/>
                <w:szCs w:val="22"/>
                <w:lang w:eastAsia="en-AU"/>
              </w:rPr>
              <w:tab/>
            </w:r>
            <w:r w:rsidR="00C8365E" w:rsidRPr="00C959ED">
              <w:rPr>
                <w:rStyle w:val="Hyperlink"/>
              </w:rPr>
              <w:t>Borehole core, wireline and image log interpretation</w:t>
            </w:r>
            <w:r w:rsidR="00C8365E">
              <w:rPr>
                <w:webHidden/>
              </w:rPr>
              <w:tab/>
            </w:r>
            <w:r w:rsidR="00C8365E">
              <w:rPr>
                <w:webHidden/>
              </w:rPr>
              <w:fldChar w:fldCharType="begin"/>
            </w:r>
            <w:r w:rsidR="00C8365E">
              <w:rPr>
                <w:webHidden/>
              </w:rPr>
              <w:instrText xml:space="preserve"> PAGEREF _Toc66967180 \h </w:instrText>
            </w:r>
            <w:r w:rsidR="00C8365E">
              <w:rPr>
                <w:webHidden/>
              </w:rPr>
            </w:r>
            <w:r w:rsidR="00C8365E">
              <w:rPr>
                <w:webHidden/>
              </w:rPr>
              <w:fldChar w:fldCharType="separate"/>
            </w:r>
            <w:r w:rsidR="00047351">
              <w:rPr>
                <w:webHidden/>
              </w:rPr>
              <w:t>19</w:t>
            </w:r>
            <w:r w:rsidR="00C8365E">
              <w:rPr>
                <w:webHidden/>
              </w:rPr>
              <w:fldChar w:fldCharType="end"/>
            </w:r>
          </w:hyperlink>
        </w:p>
        <w:p w14:paraId="2C247AA9" w14:textId="049F5BB9" w:rsidR="00C8365E" w:rsidRDefault="00245460">
          <w:pPr>
            <w:pStyle w:val="TOC3"/>
            <w:rPr>
              <w:rFonts w:eastAsiaTheme="minorEastAsia" w:cstheme="minorBidi"/>
              <w:sz w:val="22"/>
              <w:szCs w:val="22"/>
              <w:lang w:eastAsia="en-AU"/>
            </w:rPr>
          </w:pPr>
          <w:hyperlink w:anchor="_Toc66967181" w:history="1">
            <w:r w:rsidR="00C8365E" w:rsidRPr="00C959ED">
              <w:rPr>
                <w:rStyle w:val="Hyperlink"/>
              </w:rPr>
              <w:t>2.1.7.</w:t>
            </w:r>
            <w:r w:rsidR="00C8365E">
              <w:rPr>
                <w:rFonts w:eastAsiaTheme="minorEastAsia" w:cstheme="minorBidi"/>
                <w:sz w:val="22"/>
                <w:szCs w:val="22"/>
                <w:lang w:eastAsia="en-AU"/>
              </w:rPr>
              <w:tab/>
            </w:r>
            <w:r w:rsidR="00C8365E" w:rsidRPr="00C959ED">
              <w:rPr>
                <w:rStyle w:val="Hyperlink"/>
              </w:rPr>
              <w:t>Seismic surveys</w:t>
            </w:r>
            <w:r w:rsidR="00C8365E">
              <w:rPr>
                <w:webHidden/>
              </w:rPr>
              <w:tab/>
            </w:r>
            <w:r w:rsidR="00C8365E">
              <w:rPr>
                <w:webHidden/>
              </w:rPr>
              <w:fldChar w:fldCharType="begin"/>
            </w:r>
            <w:r w:rsidR="00C8365E">
              <w:rPr>
                <w:webHidden/>
              </w:rPr>
              <w:instrText xml:space="preserve"> PAGEREF _Toc66967181 \h </w:instrText>
            </w:r>
            <w:r w:rsidR="00C8365E">
              <w:rPr>
                <w:webHidden/>
              </w:rPr>
            </w:r>
            <w:r w:rsidR="00C8365E">
              <w:rPr>
                <w:webHidden/>
              </w:rPr>
              <w:fldChar w:fldCharType="separate"/>
            </w:r>
            <w:r w:rsidR="00047351">
              <w:rPr>
                <w:webHidden/>
              </w:rPr>
              <w:t>19</w:t>
            </w:r>
            <w:r w:rsidR="00C8365E">
              <w:rPr>
                <w:webHidden/>
              </w:rPr>
              <w:fldChar w:fldCharType="end"/>
            </w:r>
          </w:hyperlink>
        </w:p>
        <w:p w14:paraId="0E827712" w14:textId="26FA856D" w:rsidR="00C8365E" w:rsidRDefault="00245460">
          <w:pPr>
            <w:pStyle w:val="TOC3"/>
            <w:rPr>
              <w:rFonts w:eastAsiaTheme="minorEastAsia" w:cstheme="minorBidi"/>
              <w:sz w:val="22"/>
              <w:szCs w:val="22"/>
              <w:lang w:eastAsia="en-AU"/>
            </w:rPr>
          </w:pPr>
          <w:hyperlink w:anchor="_Toc66967182" w:history="1">
            <w:r w:rsidR="00C8365E" w:rsidRPr="00C959ED">
              <w:rPr>
                <w:rStyle w:val="Hyperlink"/>
              </w:rPr>
              <w:t>2.1.8.</w:t>
            </w:r>
            <w:r w:rsidR="00C8365E">
              <w:rPr>
                <w:rFonts w:eastAsiaTheme="minorEastAsia" w:cstheme="minorBidi"/>
                <w:sz w:val="22"/>
                <w:szCs w:val="22"/>
                <w:lang w:eastAsia="en-AU"/>
              </w:rPr>
              <w:tab/>
            </w:r>
            <w:r w:rsidR="00C8365E" w:rsidRPr="00C959ED">
              <w:rPr>
                <w:rStyle w:val="Hyperlink"/>
              </w:rPr>
              <w:t>Airborne electromagnetics</w:t>
            </w:r>
            <w:r w:rsidR="00C8365E">
              <w:rPr>
                <w:webHidden/>
              </w:rPr>
              <w:tab/>
            </w:r>
            <w:r w:rsidR="00C8365E">
              <w:rPr>
                <w:webHidden/>
              </w:rPr>
              <w:fldChar w:fldCharType="begin"/>
            </w:r>
            <w:r w:rsidR="00C8365E">
              <w:rPr>
                <w:webHidden/>
              </w:rPr>
              <w:instrText xml:space="preserve"> PAGEREF _Toc66967182 \h </w:instrText>
            </w:r>
            <w:r w:rsidR="00C8365E">
              <w:rPr>
                <w:webHidden/>
              </w:rPr>
            </w:r>
            <w:r w:rsidR="00C8365E">
              <w:rPr>
                <w:webHidden/>
              </w:rPr>
              <w:fldChar w:fldCharType="separate"/>
            </w:r>
            <w:r w:rsidR="00047351">
              <w:rPr>
                <w:webHidden/>
              </w:rPr>
              <w:t>19</w:t>
            </w:r>
            <w:r w:rsidR="00C8365E">
              <w:rPr>
                <w:webHidden/>
              </w:rPr>
              <w:fldChar w:fldCharType="end"/>
            </w:r>
          </w:hyperlink>
        </w:p>
        <w:p w14:paraId="3E1EA091" w14:textId="11D4AE8A" w:rsidR="00C8365E" w:rsidRDefault="00245460">
          <w:pPr>
            <w:pStyle w:val="TOC3"/>
            <w:rPr>
              <w:rFonts w:eastAsiaTheme="minorEastAsia" w:cstheme="minorBidi"/>
              <w:sz w:val="22"/>
              <w:szCs w:val="22"/>
              <w:lang w:eastAsia="en-AU"/>
            </w:rPr>
          </w:pPr>
          <w:hyperlink w:anchor="_Toc66967183" w:history="1">
            <w:r w:rsidR="00C8365E" w:rsidRPr="00C959ED">
              <w:rPr>
                <w:rStyle w:val="Hyperlink"/>
              </w:rPr>
              <w:t>2.1.9.</w:t>
            </w:r>
            <w:r w:rsidR="00C8365E">
              <w:rPr>
                <w:rFonts w:eastAsiaTheme="minorEastAsia" w:cstheme="minorBidi"/>
                <w:sz w:val="22"/>
                <w:szCs w:val="22"/>
                <w:lang w:eastAsia="en-AU"/>
              </w:rPr>
              <w:tab/>
            </w:r>
            <w:r w:rsidR="00C8365E" w:rsidRPr="00C959ED">
              <w:rPr>
                <w:rStyle w:val="Hyperlink"/>
              </w:rPr>
              <w:t>Fault inferences in sparse data situations</w:t>
            </w:r>
            <w:r w:rsidR="00C8365E">
              <w:rPr>
                <w:webHidden/>
              </w:rPr>
              <w:tab/>
            </w:r>
            <w:r w:rsidR="00C8365E">
              <w:rPr>
                <w:webHidden/>
              </w:rPr>
              <w:fldChar w:fldCharType="begin"/>
            </w:r>
            <w:r w:rsidR="00C8365E">
              <w:rPr>
                <w:webHidden/>
              </w:rPr>
              <w:instrText xml:space="preserve"> PAGEREF _Toc66967183 \h </w:instrText>
            </w:r>
            <w:r w:rsidR="00C8365E">
              <w:rPr>
                <w:webHidden/>
              </w:rPr>
            </w:r>
            <w:r w:rsidR="00C8365E">
              <w:rPr>
                <w:webHidden/>
              </w:rPr>
              <w:fldChar w:fldCharType="separate"/>
            </w:r>
            <w:r w:rsidR="00047351">
              <w:rPr>
                <w:webHidden/>
              </w:rPr>
              <w:t>19</w:t>
            </w:r>
            <w:r w:rsidR="00C8365E">
              <w:rPr>
                <w:webHidden/>
              </w:rPr>
              <w:fldChar w:fldCharType="end"/>
            </w:r>
          </w:hyperlink>
        </w:p>
        <w:p w14:paraId="3802A8E7" w14:textId="3FAD1DE6" w:rsidR="00C8365E" w:rsidRDefault="00245460">
          <w:pPr>
            <w:pStyle w:val="TOC3"/>
            <w:rPr>
              <w:rFonts w:eastAsiaTheme="minorEastAsia" w:cstheme="minorBidi"/>
              <w:sz w:val="22"/>
              <w:szCs w:val="22"/>
              <w:lang w:eastAsia="en-AU"/>
            </w:rPr>
          </w:pPr>
          <w:hyperlink w:anchor="_Toc66967184" w:history="1">
            <w:r w:rsidR="00C8365E" w:rsidRPr="00C959ED">
              <w:rPr>
                <w:rStyle w:val="Hyperlink"/>
              </w:rPr>
              <w:t>2.1.10.</w:t>
            </w:r>
            <w:r w:rsidR="00C8365E">
              <w:rPr>
                <w:rFonts w:eastAsiaTheme="minorEastAsia" w:cstheme="minorBidi"/>
                <w:sz w:val="22"/>
                <w:szCs w:val="22"/>
                <w:lang w:eastAsia="en-AU"/>
              </w:rPr>
              <w:tab/>
            </w:r>
            <w:r w:rsidR="00C8365E" w:rsidRPr="00C959ED">
              <w:rPr>
                <w:rStyle w:val="Hyperlink"/>
              </w:rPr>
              <w:t>Hydrogeological testing and groundwater level data</w:t>
            </w:r>
            <w:r w:rsidR="00C8365E">
              <w:rPr>
                <w:webHidden/>
              </w:rPr>
              <w:tab/>
            </w:r>
            <w:r w:rsidR="00C8365E">
              <w:rPr>
                <w:webHidden/>
              </w:rPr>
              <w:fldChar w:fldCharType="begin"/>
            </w:r>
            <w:r w:rsidR="00C8365E">
              <w:rPr>
                <w:webHidden/>
              </w:rPr>
              <w:instrText xml:space="preserve"> PAGEREF _Toc66967184 \h </w:instrText>
            </w:r>
            <w:r w:rsidR="00C8365E">
              <w:rPr>
                <w:webHidden/>
              </w:rPr>
            </w:r>
            <w:r w:rsidR="00C8365E">
              <w:rPr>
                <w:webHidden/>
              </w:rPr>
              <w:fldChar w:fldCharType="separate"/>
            </w:r>
            <w:r w:rsidR="00047351">
              <w:rPr>
                <w:webHidden/>
              </w:rPr>
              <w:t>19</w:t>
            </w:r>
            <w:r w:rsidR="00C8365E">
              <w:rPr>
                <w:webHidden/>
              </w:rPr>
              <w:fldChar w:fldCharType="end"/>
            </w:r>
          </w:hyperlink>
        </w:p>
        <w:p w14:paraId="591671AB" w14:textId="7025F7B1" w:rsidR="00C8365E" w:rsidRDefault="00245460">
          <w:pPr>
            <w:pStyle w:val="TOC3"/>
            <w:rPr>
              <w:rFonts w:eastAsiaTheme="minorEastAsia" w:cstheme="minorBidi"/>
              <w:sz w:val="22"/>
              <w:szCs w:val="22"/>
              <w:lang w:eastAsia="en-AU"/>
            </w:rPr>
          </w:pPr>
          <w:hyperlink w:anchor="_Toc66967185" w:history="1">
            <w:r w:rsidR="00C8365E" w:rsidRPr="00C959ED">
              <w:rPr>
                <w:rStyle w:val="Hyperlink"/>
              </w:rPr>
              <w:t>2.1.11.</w:t>
            </w:r>
            <w:r w:rsidR="00C8365E">
              <w:rPr>
                <w:rFonts w:eastAsiaTheme="minorEastAsia" w:cstheme="minorBidi"/>
                <w:sz w:val="22"/>
                <w:szCs w:val="22"/>
                <w:lang w:eastAsia="en-AU"/>
              </w:rPr>
              <w:tab/>
            </w:r>
            <w:r w:rsidR="00C8365E" w:rsidRPr="00C959ED">
              <w:rPr>
                <w:rStyle w:val="Hyperlink"/>
              </w:rPr>
              <w:t>Water chemistry and environmental tracer studies</w:t>
            </w:r>
            <w:r w:rsidR="00C8365E">
              <w:rPr>
                <w:webHidden/>
              </w:rPr>
              <w:tab/>
            </w:r>
            <w:r w:rsidR="00C8365E">
              <w:rPr>
                <w:webHidden/>
              </w:rPr>
              <w:fldChar w:fldCharType="begin"/>
            </w:r>
            <w:r w:rsidR="00C8365E">
              <w:rPr>
                <w:webHidden/>
              </w:rPr>
              <w:instrText xml:space="preserve"> PAGEREF _Toc66967185 \h </w:instrText>
            </w:r>
            <w:r w:rsidR="00C8365E">
              <w:rPr>
                <w:webHidden/>
              </w:rPr>
            </w:r>
            <w:r w:rsidR="00C8365E">
              <w:rPr>
                <w:webHidden/>
              </w:rPr>
              <w:fldChar w:fldCharType="separate"/>
            </w:r>
            <w:r w:rsidR="00047351">
              <w:rPr>
                <w:webHidden/>
              </w:rPr>
              <w:t>20</w:t>
            </w:r>
            <w:r w:rsidR="00C8365E">
              <w:rPr>
                <w:webHidden/>
              </w:rPr>
              <w:fldChar w:fldCharType="end"/>
            </w:r>
          </w:hyperlink>
        </w:p>
        <w:p w14:paraId="4D139F76" w14:textId="30FD6C7A" w:rsidR="00C8365E" w:rsidRDefault="00245460">
          <w:pPr>
            <w:pStyle w:val="TOC2"/>
            <w:rPr>
              <w:rFonts w:eastAsiaTheme="minorEastAsia" w:cstheme="minorBidi"/>
              <w:b w:val="0"/>
              <w:bCs w:val="0"/>
              <w:lang w:eastAsia="en-AU"/>
            </w:rPr>
          </w:pPr>
          <w:hyperlink w:anchor="_Toc66967186" w:history="1">
            <w:r w:rsidR="00C8365E" w:rsidRPr="00C959ED">
              <w:rPr>
                <w:rStyle w:val="Hyperlink"/>
              </w:rPr>
              <w:t>2.2.</w:t>
            </w:r>
            <w:r w:rsidR="00C8365E">
              <w:rPr>
                <w:rFonts w:eastAsiaTheme="minorEastAsia" w:cstheme="minorBidi"/>
                <w:b w:val="0"/>
                <w:bCs w:val="0"/>
                <w:lang w:eastAsia="en-AU"/>
              </w:rPr>
              <w:tab/>
            </w:r>
            <w:r w:rsidR="00C8365E" w:rsidRPr="00C959ED">
              <w:rPr>
                <w:rStyle w:val="Hyperlink"/>
              </w:rPr>
              <w:t>Fault definition</w:t>
            </w:r>
            <w:r w:rsidR="00C8365E">
              <w:rPr>
                <w:webHidden/>
              </w:rPr>
              <w:tab/>
            </w:r>
            <w:r w:rsidR="00C8365E">
              <w:rPr>
                <w:webHidden/>
              </w:rPr>
              <w:fldChar w:fldCharType="begin"/>
            </w:r>
            <w:r w:rsidR="00C8365E">
              <w:rPr>
                <w:webHidden/>
              </w:rPr>
              <w:instrText xml:space="preserve"> PAGEREF _Toc66967186 \h </w:instrText>
            </w:r>
            <w:r w:rsidR="00C8365E">
              <w:rPr>
                <w:webHidden/>
              </w:rPr>
            </w:r>
            <w:r w:rsidR="00C8365E">
              <w:rPr>
                <w:webHidden/>
              </w:rPr>
              <w:fldChar w:fldCharType="separate"/>
            </w:r>
            <w:r w:rsidR="00047351">
              <w:rPr>
                <w:webHidden/>
              </w:rPr>
              <w:t>21</w:t>
            </w:r>
            <w:r w:rsidR="00C8365E">
              <w:rPr>
                <w:webHidden/>
              </w:rPr>
              <w:fldChar w:fldCharType="end"/>
            </w:r>
          </w:hyperlink>
        </w:p>
        <w:p w14:paraId="04D952C1" w14:textId="38D094CF" w:rsidR="00C8365E" w:rsidRDefault="00245460">
          <w:pPr>
            <w:pStyle w:val="TOC3"/>
            <w:rPr>
              <w:rFonts w:eastAsiaTheme="minorEastAsia" w:cstheme="minorBidi"/>
              <w:sz w:val="22"/>
              <w:szCs w:val="22"/>
              <w:lang w:eastAsia="en-AU"/>
            </w:rPr>
          </w:pPr>
          <w:hyperlink w:anchor="_Toc66967187" w:history="1">
            <w:r w:rsidR="00C8365E" w:rsidRPr="00C959ED">
              <w:rPr>
                <w:rStyle w:val="Hyperlink"/>
              </w:rPr>
              <w:t>2.2.1.</w:t>
            </w:r>
            <w:r w:rsidR="00C8365E">
              <w:rPr>
                <w:rFonts w:eastAsiaTheme="minorEastAsia" w:cstheme="minorBidi"/>
                <w:sz w:val="22"/>
                <w:szCs w:val="22"/>
                <w:lang w:eastAsia="en-AU"/>
              </w:rPr>
              <w:tab/>
            </w:r>
            <w:r w:rsidR="00C8365E" w:rsidRPr="00C959ED">
              <w:rPr>
                <w:rStyle w:val="Hyperlink"/>
              </w:rPr>
              <w:t>Definition</w:t>
            </w:r>
            <w:r w:rsidR="00C8365E">
              <w:rPr>
                <w:webHidden/>
              </w:rPr>
              <w:tab/>
            </w:r>
            <w:r w:rsidR="00C8365E">
              <w:rPr>
                <w:webHidden/>
              </w:rPr>
              <w:fldChar w:fldCharType="begin"/>
            </w:r>
            <w:r w:rsidR="00C8365E">
              <w:rPr>
                <w:webHidden/>
              </w:rPr>
              <w:instrText xml:space="preserve"> PAGEREF _Toc66967187 \h </w:instrText>
            </w:r>
            <w:r w:rsidR="00C8365E">
              <w:rPr>
                <w:webHidden/>
              </w:rPr>
            </w:r>
            <w:r w:rsidR="00C8365E">
              <w:rPr>
                <w:webHidden/>
              </w:rPr>
              <w:fldChar w:fldCharType="separate"/>
            </w:r>
            <w:r w:rsidR="00047351">
              <w:rPr>
                <w:webHidden/>
              </w:rPr>
              <w:t>21</w:t>
            </w:r>
            <w:r w:rsidR="00C8365E">
              <w:rPr>
                <w:webHidden/>
              </w:rPr>
              <w:fldChar w:fldCharType="end"/>
            </w:r>
          </w:hyperlink>
        </w:p>
        <w:p w14:paraId="20486445" w14:textId="7F7FE690" w:rsidR="00C8365E" w:rsidRDefault="00245460">
          <w:pPr>
            <w:pStyle w:val="TOC3"/>
            <w:rPr>
              <w:rFonts w:eastAsiaTheme="minorEastAsia" w:cstheme="minorBidi"/>
              <w:sz w:val="22"/>
              <w:szCs w:val="22"/>
              <w:lang w:eastAsia="en-AU"/>
            </w:rPr>
          </w:pPr>
          <w:hyperlink w:anchor="_Toc66967188" w:history="1">
            <w:r w:rsidR="00C8365E" w:rsidRPr="00C959ED">
              <w:rPr>
                <w:rStyle w:val="Hyperlink"/>
              </w:rPr>
              <w:t>2.2.2.</w:t>
            </w:r>
            <w:r w:rsidR="00C8365E">
              <w:rPr>
                <w:rFonts w:eastAsiaTheme="minorEastAsia" w:cstheme="minorBidi"/>
                <w:sz w:val="22"/>
                <w:szCs w:val="22"/>
                <w:lang w:eastAsia="en-AU"/>
              </w:rPr>
              <w:tab/>
            </w:r>
            <w:r w:rsidR="00C8365E" w:rsidRPr="00C959ED">
              <w:rPr>
                <w:rStyle w:val="Hyperlink"/>
              </w:rPr>
              <w:t>Strike and dip</w:t>
            </w:r>
            <w:r w:rsidR="00C8365E">
              <w:rPr>
                <w:webHidden/>
              </w:rPr>
              <w:tab/>
            </w:r>
            <w:r w:rsidR="00C8365E">
              <w:rPr>
                <w:webHidden/>
              </w:rPr>
              <w:fldChar w:fldCharType="begin"/>
            </w:r>
            <w:r w:rsidR="00C8365E">
              <w:rPr>
                <w:webHidden/>
              </w:rPr>
              <w:instrText xml:space="preserve"> PAGEREF _Toc66967188 \h </w:instrText>
            </w:r>
            <w:r w:rsidR="00C8365E">
              <w:rPr>
                <w:webHidden/>
              </w:rPr>
            </w:r>
            <w:r w:rsidR="00C8365E">
              <w:rPr>
                <w:webHidden/>
              </w:rPr>
              <w:fldChar w:fldCharType="separate"/>
            </w:r>
            <w:r w:rsidR="00047351">
              <w:rPr>
                <w:webHidden/>
              </w:rPr>
              <w:t>21</w:t>
            </w:r>
            <w:r w:rsidR="00C8365E">
              <w:rPr>
                <w:webHidden/>
              </w:rPr>
              <w:fldChar w:fldCharType="end"/>
            </w:r>
          </w:hyperlink>
        </w:p>
        <w:p w14:paraId="143B80B6" w14:textId="3B99EB6C" w:rsidR="00C8365E" w:rsidRDefault="00245460">
          <w:pPr>
            <w:pStyle w:val="TOC3"/>
            <w:rPr>
              <w:rFonts w:eastAsiaTheme="minorEastAsia" w:cstheme="minorBidi"/>
              <w:sz w:val="22"/>
              <w:szCs w:val="22"/>
              <w:lang w:eastAsia="en-AU"/>
            </w:rPr>
          </w:pPr>
          <w:hyperlink w:anchor="_Toc66967189" w:history="1">
            <w:r w:rsidR="00C8365E" w:rsidRPr="00C959ED">
              <w:rPr>
                <w:rStyle w:val="Hyperlink"/>
              </w:rPr>
              <w:t>2.2.3.</w:t>
            </w:r>
            <w:r w:rsidR="00C8365E">
              <w:rPr>
                <w:rFonts w:eastAsiaTheme="minorEastAsia" w:cstheme="minorBidi"/>
                <w:sz w:val="22"/>
                <w:szCs w:val="22"/>
                <w:lang w:eastAsia="en-AU"/>
              </w:rPr>
              <w:tab/>
            </w:r>
            <w:r w:rsidR="00C8365E" w:rsidRPr="00C959ED">
              <w:rPr>
                <w:rStyle w:val="Hyperlink"/>
              </w:rPr>
              <w:t>Strike and separation / heave and throw</w:t>
            </w:r>
            <w:r w:rsidR="00C8365E">
              <w:rPr>
                <w:webHidden/>
              </w:rPr>
              <w:tab/>
            </w:r>
            <w:r w:rsidR="00C8365E">
              <w:rPr>
                <w:webHidden/>
              </w:rPr>
              <w:fldChar w:fldCharType="begin"/>
            </w:r>
            <w:r w:rsidR="00C8365E">
              <w:rPr>
                <w:webHidden/>
              </w:rPr>
              <w:instrText xml:space="preserve"> PAGEREF _Toc66967189 \h </w:instrText>
            </w:r>
            <w:r w:rsidR="00C8365E">
              <w:rPr>
                <w:webHidden/>
              </w:rPr>
            </w:r>
            <w:r w:rsidR="00C8365E">
              <w:rPr>
                <w:webHidden/>
              </w:rPr>
              <w:fldChar w:fldCharType="separate"/>
            </w:r>
            <w:r w:rsidR="00047351">
              <w:rPr>
                <w:webHidden/>
              </w:rPr>
              <w:t>21</w:t>
            </w:r>
            <w:r w:rsidR="00C8365E">
              <w:rPr>
                <w:webHidden/>
              </w:rPr>
              <w:fldChar w:fldCharType="end"/>
            </w:r>
          </w:hyperlink>
        </w:p>
        <w:p w14:paraId="49C59132" w14:textId="08FC7F0D" w:rsidR="00C8365E" w:rsidRDefault="00245460">
          <w:pPr>
            <w:pStyle w:val="TOC3"/>
            <w:rPr>
              <w:rFonts w:eastAsiaTheme="minorEastAsia" w:cstheme="minorBidi"/>
              <w:sz w:val="22"/>
              <w:szCs w:val="22"/>
              <w:lang w:eastAsia="en-AU"/>
            </w:rPr>
          </w:pPr>
          <w:hyperlink w:anchor="_Toc66967190" w:history="1">
            <w:r w:rsidR="00C8365E" w:rsidRPr="00C959ED">
              <w:rPr>
                <w:rStyle w:val="Hyperlink"/>
              </w:rPr>
              <w:t>2.2.4.</w:t>
            </w:r>
            <w:r w:rsidR="00C8365E">
              <w:rPr>
                <w:rFonts w:eastAsiaTheme="minorEastAsia" w:cstheme="minorBidi"/>
                <w:sz w:val="22"/>
                <w:szCs w:val="22"/>
                <w:lang w:eastAsia="en-AU"/>
              </w:rPr>
              <w:tab/>
            </w:r>
            <w:r w:rsidR="00C8365E" w:rsidRPr="00C959ED">
              <w:rPr>
                <w:rStyle w:val="Hyperlink"/>
              </w:rPr>
              <w:t>Slip / separation variability</w:t>
            </w:r>
            <w:r w:rsidR="00C8365E">
              <w:rPr>
                <w:webHidden/>
              </w:rPr>
              <w:tab/>
            </w:r>
            <w:r w:rsidR="00C8365E">
              <w:rPr>
                <w:webHidden/>
              </w:rPr>
              <w:fldChar w:fldCharType="begin"/>
            </w:r>
            <w:r w:rsidR="00C8365E">
              <w:rPr>
                <w:webHidden/>
              </w:rPr>
              <w:instrText xml:space="preserve"> PAGEREF _Toc66967190 \h </w:instrText>
            </w:r>
            <w:r w:rsidR="00C8365E">
              <w:rPr>
                <w:webHidden/>
              </w:rPr>
            </w:r>
            <w:r w:rsidR="00C8365E">
              <w:rPr>
                <w:webHidden/>
              </w:rPr>
              <w:fldChar w:fldCharType="separate"/>
            </w:r>
            <w:r w:rsidR="00047351">
              <w:rPr>
                <w:webHidden/>
              </w:rPr>
              <w:t>22</w:t>
            </w:r>
            <w:r w:rsidR="00C8365E">
              <w:rPr>
                <w:webHidden/>
              </w:rPr>
              <w:fldChar w:fldCharType="end"/>
            </w:r>
          </w:hyperlink>
        </w:p>
        <w:p w14:paraId="3B600527" w14:textId="53B76A97" w:rsidR="00C8365E" w:rsidRDefault="00245460">
          <w:pPr>
            <w:pStyle w:val="TOC3"/>
            <w:rPr>
              <w:rFonts w:eastAsiaTheme="minorEastAsia" w:cstheme="minorBidi"/>
              <w:sz w:val="22"/>
              <w:szCs w:val="22"/>
              <w:lang w:eastAsia="en-AU"/>
            </w:rPr>
          </w:pPr>
          <w:hyperlink w:anchor="_Toc66967191" w:history="1">
            <w:r w:rsidR="00C8365E" w:rsidRPr="00C959ED">
              <w:rPr>
                <w:rStyle w:val="Hyperlink"/>
              </w:rPr>
              <w:t>2.2.5.</w:t>
            </w:r>
            <w:r w:rsidR="00C8365E">
              <w:rPr>
                <w:rFonts w:eastAsiaTheme="minorEastAsia" w:cstheme="minorBidi"/>
                <w:sz w:val="22"/>
                <w:szCs w:val="22"/>
                <w:lang w:eastAsia="en-AU"/>
              </w:rPr>
              <w:tab/>
            </w:r>
            <w:r w:rsidR="00C8365E" w:rsidRPr="00C959ED">
              <w:rPr>
                <w:rStyle w:val="Hyperlink"/>
              </w:rPr>
              <w:t>Fault architecture</w:t>
            </w:r>
            <w:r w:rsidR="00C8365E">
              <w:rPr>
                <w:webHidden/>
              </w:rPr>
              <w:tab/>
            </w:r>
            <w:r w:rsidR="00C8365E">
              <w:rPr>
                <w:webHidden/>
              </w:rPr>
              <w:fldChar w:fldCharType="begin"/>
            </w:r>
            <w:r w:rsidR="00C8365E">
              <w:rPr>
                <w:webHidden/>
              </w:rPr>
              <w:instrText xml:space="preserve"> PAGEREF _Toc66967191 \h </w:instrText>
            </w:r>
            <w:r w:rsidR="00C8365E">
              <w:rPr>
                <w:webHidden/>
              </w:rPr>
            </w:r>
            <w:r w:rsidR="00C8365E">
              <w:rPr>
                <w:webHidden/>
              </w:rPr>
              <w:fldChar w:fldCharType="separate"/>
            </w:r>
            <w:r w:rsidR="00047351">
              <w:rPr>
                <w:webHidden/>
              </w:rPr>
              <w:t>22</w:t>
            </w:r>
            <w:r w:rsidR="00C8365E">
              <w:rPr>
                <w:webHidden/>
              </w:rPr>
              <w:fldChar w:fldCharType="end"/>
            </w:r>
          </w:hyperlink>
        </w:p>
        <w:p w14:paraId="6DB288C6" w14:textId="741AB977" w:rsidR="00C8365E" w:rsidRDefault="00245460">
          <w:pPr>
            <w:pStyle w:val="TOC3"/>
            <w:rPr>
              <w:rFonts w:eastAsiaTheme="minorEastAsia" w:cstheme="minorBidi"/>
              <w:sz w:val="22"/>
              <w:szCs w:val="22"/>
              <w:lang w:eastAsia="en-AU"/>
            </w:rPr>
          </w:pPr>
          <w:hyperlink w:anchor="_Toc66967192" w:history="1">
            <w:r w:rsidR="00C8365E" w:rsidRPr="00C959ED">
              <w:rPr>
                <w:rStyle w:val="Hyperlink"/>
              </w:rPr>
              <w:t>2.2.6.</w:t>
            </w:r>
            <w:r w:rsidR="00C8365E">
              <w:rPr>
                <w:rFonts w:eastAsiaTheme="minorEastAsia" w:cstheme="minorBidi"/>
                <w:sz w:val="22"/>
                <w:szCs w:val="22"/>
                <w:lang w:eastAsia="en-AU"/>
              </w:rPr>
              <w:tab/>
            </w:r>
            <w:r w:rsidR="00C8365E" w:rsidRPr="00C959ED">
              <w:rPr>
                <w:rStyle w:val="Hyperlink"/>
              </w:rPr>
              <w:t>Fault anatomy</w:t>
            </w:r>
            <w:r w:rsidR="00C8365E">
              <w:rPr>
                <w:webHidden/>
              </w:rPr>
              <w:tab/>
            </w:r>
            <w:r w:rsidR="00C8365E">
              <w:rPr>
                <w:webHidden/>
              </w:rPr>
              <w:fldChar w:fldCharType="begin"/>
            </w:r>
            <w:r w:rsidR="00C8365E">
              <w:rPr>
                <w:webHidden/>
              </w:rPr>
              <w:instrText xml:space="preserve"> PAGEREF _Toc66967192 \h </w:instrText>
            </w:r>
            <w:r w:rsidR="00C8365E">
              <w:rPr>
                <w:webHidden/>
              </w:rPr>
            </w:r>
            <w:r w:rsidR="00C8365E">
              <w:rPr>
                <w:webHidden/>
              </w:rPr>
              <w:fldChar w:fldCharType="separate"/>
            </w:r>
            <w:r w:rsidR="00047351">
              <w:rPr>
                <w:webHidden/>
              </w:rPr>
              <w:t>22</w:t>
            </w:r>
            <w:r w:rsidR="00C8365E">
              <w:rPr>
                <w:webHidden/>
              </w:rPr>
              <w:fldChar w:fldCharType="end"/>
            </w:r>
          </w:hyperlink>
        </w:p>
        <w:p w14:paraId="75360B70" w14:textId="70F2935A" w:rsidR="00C8365E" w:rsidRDefault="00245460">
          <w:pPr>
            <w:pStyle w:val="TOC2"/>
            <w:rPr>
              <w:rFonts w:eastAsiaTheme="minorEastAsia" w:cstheme="minorBidi"/>
              <w:b w:val="0"/>
              <w:bCs w:val="0"/>
              <w:lang w:eastAsia="en-AU"/>
            </w:rPr>
          </w:pPr>
          <w:hyperlink w:anchor="_Toc66967193" w:history="1">
            <w:r w:rsidR="00C8365E" w:rsidRPr="00C959ED">
              <w:rPr>
                <w:rStyle w:val="Hyperlink"/>
              </w:rPr>
              <w:t>2.3.</w:t>
            </w:r>
            <w:r w:rsidR="00C8365E">
              <w:rPr>
                <w:rFonts w:eastAsiaTheme="minorEastAsia" w:cstheme="minorBidi"/>
                <w:b w:val="0"/>
                <w:bCs w:val="0"/>
                <w:lang w:eastAsia="en-AU"/>
              </w:rPr>
              <w:tab/>
            </w:r>
            <w:r w:rsidR="00C8365E" w:rsidRPr="00C959ED">
              <w:rPr>
                <w:rStyle w:val="Hyperlink"/>
              </w:rPr>
              <w:t>Geometry, juxtaposition and Allan Maps</w:t>
            </w:r>
            <w:r w:rsidR="00C8365E">
              <w:rPr>
                <w:webHidden/>
              </w:rPr>
              <w:tab/>
            </w:r>
            <w:r w:rsidR="00C8365E">
              <w:rPr>
                <w:webHidden/>
              </w:rPr>
              <w:fldChar w:fldCharType="begin"/>
            </w:r>
            <w:r w:rsidR="00C8365E">
              <w:rPr>
                <w:webHidden/>
              </w:rPr>
              <w:instrText xml:space="preserve"> PAGEREF _Toc66967193 \h </w:instrText>
            </w:r>
            <w:r w:rsidR="00C8365E">
              <w:rPr>
                <w:webHidden/>
              </w:rPr>
            </w:r>
            <w:r w:rsidR="00C8365E">
              <w:rPr>
                <w:webHidden/>
              </w:rPr>
              <w:fldChar w:fldCharType="separate"/>
            </w:r>
            <w:r w:rsidR="00047351">
              <w:rPr>
                <w:webHidden/>
              </w:rPr>
              <w:t>24</w:t>
            </w:r>
            <w:r w:rsidR="00C8365E">
              <w:rPr>
                <w:webHidden/>
              </w:rPr>
              <w:fldChar w:fldCharType="end"/>
            </w:r>
          </w:hyperlink>
        </w:p>
        <w:p w14:paraId="3561BD1A" w14:textId="509809E4" w:rsidR="00C8365E" w:rsidRDefault="00245460">
          <w:pPr>
            <w:pStyle w:val="TOC1"/>
            <w:rPr>
              <w:rFonts w:eastAsiaTheme="minorEastAsia" w:cstheme="minorBidi"/>
              <w:b w:val="0"/>
              <w:bCs w:val="0"/>
              <w:iCs w:val="0"/>
              <w:lang w:eastAsia="en-AU"/>
            </w:rPr>
          </w:pPr>
          <w:hyperlink w:anchor="_Toc66967194" w:history="1">
            <w:r w:rsidR="00C8365E" w:rsidRPr="00C959ED">
              <w:rPr>
                <w:rStyle w:val="Hyperlink"/>
              </w:rPr>
              <w:t>3.</w:t>
            </w:r>
            <w:r w:rsidR="00C8365E">
              <w:rPr>
                <w:rFonts w:eastAsiaTheme="minorEastAsia" w:cstheme="minorBidi"/>
                <w:b w:val="0"/>
                <w:bCs w:val="0"/>
                <w:iCs w:val="0"/>
                <w:lang w:eastAsia="en-AU"/>
              </w:rPr>
              <w:tab/>
            </w:r>
            <w:r w:rsidR="00C8365E" w:rsidRPr="00C959ED">
              <w:rPr>
                <w:rStyle w:val="Hyperlink"/>
              </w:rPr>
              <w:t>Fault conceptualisation and identification of risk pathways</w:t>
            </w:r>
            <w:r w:rsidR="00C8365E">
              <w:rPr>
                <w:webHidden/>
              </w:rPr>
              <w:tab/>
            </w:r>
            <w:r w:rsidR="00C8365E">
              <w:rPr>
                <w:webHidden/>
              </w:rPr>
              <w:fldChar w:fldCharType="begin"/>
            </w:r>
            <w:r w:rsidR="00C8365E">
              <w:rPr>
                <w:webHidden/>
              </w:rPr>
              <w:instrText xml:space="preserve"> PAGEREF _Toc66967194 \h </w:instrText>
            </w:r>
            <w:r w:rsidR="00C8365E">
              <w:rPr>
                <w:webHidden/>
              </w:rPr>
            </w:r>
            <w:r w:rsidR="00C8365E">
              <w:rPr>
                <w:webHidden/>
              </w:rPr>
              <w:fldChar w:fldCharType="separate"/>
            </w:r>
            <w:r w:rsidR="00047351">
              <w:rPr>
                <w:webHidden/>
              </w:rPr>
              <w:t>25</w:t>
            </w:r>
            <w:r w:rsidR="00C8365E">
              <w:rPr>
                <w:webHidden/>
              </w:rPr>
              <w:fldChar w:fldCharType="end"/>
            </w:r>
          </w:hyperlink>
        </w:p>
        <w:p w14:paraId="01A05A34" w14:textId="31E2A1C9" w:rsidR="00C8365E" w:rsidRDefault="00245460">
          <w:pPr>
            <w:pStyle w:val="TOC2"/>
            <w:rPr>
              <w:rFonts w:eastAsiaTheme="minorEastAsia" w:cstheme="minorBidi"/>
              <w:b w:val="0"/>
              <w:bCs w:val="0"/>
              <w:lang w:eastAsia="en-AU"/>
            </w:rPr>
          </w:pPr>
          <w:hyperlink w:anchor="_Toc66967195" w:history="1">
            <w:r w:rsidR="00C8365E" w:rsidRPr="00C959ED">
              <w:rPr>
                <w:rStyle w:val="Hyperlink"/>
              </w:rPr>
              <w:t>3.1.</w:t>
            </w:r>
            <w:r w:rsidR="00C8365E">
              <w:rPr>
                <w:rFonts w:eastAsiaTheme="minorEastAsia" w:cstheme="minorBidi"/>
                <w:b w:val="0"/>
                <w:bCs w:val="0"/>
                <w:lang w:eastAsia="en-AU"/>
              </w:rPr>
              <w:tab/>
            </w:r>
            <w:r w:rsidR="00C8365E" w:rsidRPr="00C959ED">
              <w:rPr>
                <w:rStyle w:val="Hyperlink"/>
              </w:rPr>
              <w:t>The Hydrogeological Role of Faults</w:t>
            </w:r>
            <w:r w:rsidR="00C8365E">
              <w:rPr>
                <w:webHidden/>
              </w:rPr>
              <w:tab/>
            </w:r>
            <w:r w:rsidR="00C8365E">
              <w:rPr>
                <w:webHidden/>
              </w:rPr>
              <w:fldChar w:fldCharType="begin"/>
            </w:r>
            <w:r w:rsidR="00C8365E">
              <w:rPr>
                <w:webHidden/>
              </w:rPr>
              <w:instrText xml:space="preserve"> PAGEREF _Toc66967195 \h </w:instrText>
            </w:r>
            <w:r w:rsidR="00C8365E">
              <w:rPr>
                <w:webHidden/>
              </w:rPr>
            </w:r>
            <w:r w:rsidR="00C8365E">
              <w:rPr>
                <w:webHidden/>
              </w:rPr>
              <w:fldChar w:fldCharType="separate"/>
            </w:r>
            <w:r w:rsidR="00047351">
              <w:rPr>
                <w:webHidden/>
              </w:rPr>
              <w:t>25</w:t>
            </w:r>
            <w:r w:rsidR="00C8365E">
              <w:rPr>
                <w:webHidden/>
              </w:rPr>
              <w:fldChar w:fldCharType="end"/>
            </w:r>
          </w:hyperlink>
        </w:p>
        <w:p w14:paraId="7FB12280" w14:textId="76198293" w:rsidR="00C8365E" w:rsidRDefault="00245460">
          <w:pPr>
            <w:pStyle w:val="TOC3"/>
            <w:rPr>
              <w:rFonts w:eastAsiaTheme="minorEastAsia" w:cstheme="minorBidi"/>
              <w:sz w:val="22"/>
              <w:szCs w:val="22"/>
              <w:lang w:eastAsia="en-AU"/>
            </w:rPr>
          </w:pPr>
          <w:hyperlink w:anchor="_Toc66967196" w:history="1">
            <w:r w:rsidR="00C8365E" w:rsidRPr="00C959ED">
              <w:rPr>
                <w:rStyle w:val="Hyperlink"/>
                <w:b/>
              </w:rPr>
              <w:t>3.1.1.</w:t>
            </w:r>
            <w:r w:rsidR="00C8365E">
              <w:rPr>
                <w:rFonts w:eastAsiaTheme="minorEastAsia" w:cstheme="minorBidi"/>
                <w:sz w:val="22"/>
                <w:szCs w:val="22"/>
                <w:lang w:eastAsia="en-AU"/>
              </w:rPr>
              <w:tab/>
            </w:r>
            <w:r w:rsidR="00C8365E" w:rsidRPr="00C959ED">
              <w:rPr>
                <w:rStyle w:val="Hyperlink"/>
              </w:rPr>
              <w:t>Role of faults as barriers</w:t>
            </w:r>
            <w:r w:rsidR="00C8365E">
              <w:rPr>
                <w:webHidden/>
              </w:rPr>
              <w:tab/>
            </w:r>
            <w:r w:rsidR="00C8365E">
              <w:rPr>
                <w:webHidden/>
              </w:rPr>
              <w:fldChar w:fldCharType="begin"/>
            </w:r>
            <w:r w:rsidR="00C8365E">
              <w:rPr>
                <w:webHidden/>
              </w:rPr>
              <w:instrText xml:space="preserve"> PAGEREF _Toc66967196 \h </w:instrText>
            </w:r>
            <w:r w:rsidR="00C8365E">
              <w:rPr>
                <w:webHidden/>
              </w:rPr>
            </w:r>
            <w:r w:rsidR="00C8365E">
              <w:rPr>
                <w:webHidden/>
              </w:rPr>
              <w:fldChar w:fldCharType="separate"/>
            </w:r>
            <w:r w:rsidR="00047351">
              <w:rPr>
                <w:webHidden/>
              </w:rPr>
              <w:t>25</w:t>
            </w:r>
            <w:r w:rsidR="00C8365E">
              <w:rPr>
                <w:webHidden/>
              </w:rPr>
              <w:fldChar w:fldCharType="end"/>
            </w:r>
          </w:hyperlink>
        </w:p>
        <w:p w14:paraId="49858FBF" w14:textId="330BD58B" w:rsidR="00C8365E" w:rsidRDefault="00245460">
          <w:pPr>
            <w:pStyle w:val="TOC2"/>
            <w:rPr>
              <w:rFonts w:eastAsiaTheme="minorEastAsia" w:cstheme="minorBidi"/>
              <w:b w:val="0"/>
              <w:bCs w:val="0"/>
              <w:lang w:eastAsia="en-AU"/>
            </w:rPr>
          </w:pPr>
          <w:hyperlink w:anchor="_Toc66967197" w:history="1">
            <w:r w:rsidR="00C8365E" w:rsidRPr="00C959ED">
              <w:rPr>
                <w:rStyle w:val="Hyperlink"/>
              </w:rPr>
              <w:t>3.2.</w:t>
            </w:r>
            <w:r w:rsidR="00C8365E">
              <w:rPr>
                <w:rFonts w:eastAsiaTheme="minorEastAsia" w:cstheme="minorBidi"/>
                <w:b w:val="0"/>
                <w:bCs w:val="0"/>
                <w:lang w:eastAsia="en-AU"/>
              </w:rPr>
              <w:tab/>
            </w:r>
            <w:r w:rsidR="00C8365E" w:rsidRPr="00C959ED">
              <w:rPr>
                <w:rStyle w:val="Hyperlink"/>
              </w:rPr>
              <w:t>General Steps</w:t>
            </w:r>
            <w:r w:rsidR="00C8365E">
              <w:rPr>
                <w:webHidden/>
              </w:rPr>
              <w:tab/>
            </w:r>
            <w:r w:rsidR="00C8365E">
              <w:rPr>
                <w:webHidden/>
              </w:rPr>
              <w:fldChar w:fldCharType="begin"/>
            </w:r>
            <w:r w:rsidR="00C8365E">
              <w:rPr>
                <w:webHidden/>
              </w:rPr>
              <w:instrText xml:space="preserve"> PAGEREF _Toc66967197 \h </w:instrText>
            </w:r>
            <w:r w:rsidR="00C8365E">
              <w:rPr>
                <w:webHidden/>
              </w:rPr>
            </w:r>
            <w:r w:rsidR="00C8365E">
              <w:rPr>
                <w:webHidden/>
              </w:rPr>
              <w:fldChar w:fldCharType="separate"/>
            </w:r>
            <w:r w:rsidR="00047351">
              <w:rPr>
                <w:webHidden/>
              </w:rPr>
              <w:t>25</w:t>
            </w:r>
            <w:r w:rsidR="00C8365E">
              <w:rPr>
                <w:webHidden/>
              </w:rPr>
              <w:fldChar w:fldCharType="end"/>
            </w:r>
          </w:hyperlink>
        </w:p>
        <w:p w14:paraId="23E87286" w14:textId="326A3FC5" w:rsidR="00C8365E" w:rsidRDefault="00245460">
          <w:pPr>
            <w:pStyle w:val="TOC2"/>
            <w:rPr>
              <w:rFonts w:eastAsiaTheme="minorEastAsia" w:cstheme="minorBidi"/>
              <w:b w:val="0"/>
              <w:bCs w:val="0"/>
              <w:lang w:eastAsia="en-AU"/>
            </w:rPr>
          </w:pPr>
          <w:hyperlink w:anchor="_Toc66967198" w:history="1">
            <w:r w:rsidR="00C8365E" w:rsidRPr="00C959ED">
              <w:rPr>
                <w:rStyle w:val="Hyperlink"/>
              </w:rPr>
              <w:t>3.3.</w:t>
            </w:r>
            <w:r w:rsidR="00C8365E">
              <w:rPr>
                <w:rFonts w:eastAsiaTheme="minorEastAsia" w:cstheme="minorBidi"/>
                <w:b w:val="0"/>
                <w:bCs w:val="0"/>
                <w:lang w:eastAsia="en-AU"/>
              </w:rPr>
              <w:tab/>
            </w:r>
            <w:r w:rsidR="00C8365E" w:rsidRPr="00C959ED">
              <w:rPr>
                <w:rStyle w:val="Hyperlink"/>
              </w:rPr>
              <w:t>Conceptual Scenarios</w:t>
            </w:r>
            <w:r w:rsidR="00C8365E">
              <w:rPr>
                <w:webHidden/>
              </w:rPr>
              <w:tab/>
            </w:r>
            <w:r w:rsidR="00C8365E">
              <w:rPr>
                <w:webHidden/>
              </w:rPr>
              <w:fldChar w:fldCharType="begin"/>
            </w:r>
            <w:r w:rsidR="00C8365E">
              <w:rPr>
                <w:webHidden/>
              </w:rPr>
              <w:instrText xml:space="preserve"> PAGEREF _Toc66967198 \h </w:instrText>
            </w:r>
            <w:r w:rsidR="00C8365E">
              <w:rPr>
                <w:webHidden/>
              </w:rPr>
            </w:r>
            <w:r w:rsidR="00C8365E">
              <w:rPr>
                <w:webHidden/>
              </w:rPr>
              <w:fldChar w:fldCharType="separate"/>
            </w:r>
            <w:r w:rsidR="00047351">
              <w:rPr>
                <w:webHidden/>
              </w:rPr>
              <w:t>25</w:t>
            </w:r>
            <w:r w:rsidR="00C8365E">
              <w:rPr>
                <w:webHidden/>
              </w:rPr>
              <w:fldChar w:fldCharType="end"/>
            </w:r>
          </w:hyperlink>
        </w:p>
        <w:p w14:paraId="277E33E1" w14:textId="460E750E" w:rsidR="00C8365E" w:rsidRDefault="00245460">
          <w:pPr>
            <w:pStyle w:val="TOC1"/>
            <w:rPr>
              <w:rFonts w:eastAsiaTheme="minorEastAsia" w:cstheme="minorBidi"/>
              <w:b w:val="0"/>
              <w:bCs w:val="0"/>
              <w:iCs w:val="0"/>
              <w:lang w:eastAsia="en-AU"/>
            </w:rPr>
          </w:pPr>
          <w:hyperlink w:anchor="_Toc66967199" w:history="1">
            <w:r w:rsidR="00C8365E" w:rsidRPr="00C959ED">
              <w:rPr>
                <w:rStyle w:val="Hyperlink"/>
              </w:rPr>
              <w:t>4.</w:t>
            </w:r>
            <w:r w:rsidR="00C8365E">
              <w:rPr>
                <w:rFonts w:eastAsiaTheme="minorEastAsia" w:cstheme="minorBidi"/>
                <w:b w:val="0"/>
                <w:bCs w:val="0"/>
                <w:iCs w:val="0"/>
                <w:lang w:eastAsia="en-AU"/>
              </w:rPr>
              <w:tab/>
            </w:r>
            <w:r w:rsidR="00C8365E" w:rsidRPr="00C959ED">
              <w:rPr>
                <w:rStyle w:val="Hyperlink"/>
              </w:rPr>
              <w:t>Numerical simulation of groundwater flow systems with faults</w:t>
            </w:r>
            <w:r w:rsidR="00C8365E">
              <w:rPr>
                <w:webHidden/>
              </w:rPr>
              <w:tab/>
            </w:r>
            <w:r w:rsidR="00C8365E">
              <w:rPr>
                <w:webHidden/>
              </w:rPr>
              <w:fldChar w:fldCharType="begin"/>
            </w:r>
            <w:r w:rsidR="00C8365E">
              <w:rPr>
                <w:webHidden/>
              </w:rPr>
              <w:instrText xml:space="preserve"> PAGEREF _Toc66967199 \h </w:instrText>
            </w:r>
            <w:r w:rsidR="00C8365E">
              <w:rPr>
                <w:webHidden/>
              </w:rPr>
            </w:r>
            <w:r w:rsidR="00C8365E">
              <w:rPr>
                <w:webHidden/>
              </w:rPr>
              <w:fldChar w:fldCharType="separate"/>
            </w:r>
            <w:r w:rsidR="00047351">
              <w:rPr>
                <w:webHidden/>
              </w:rPr>
              <w:t>29</w:t>
            </w:r>
            <w:r w:rsidR="00C8365E">
              <w:rPr>
                <w:webHidden/>
              </w:rPr>
              <w:fldChar w:fldCharType="end"/>
            </w:r>
          </w:hyperlink>
        </w:p>
        <w:p w14:paraId="2F99173B" w14:textId="1F67C6BB" w:rsidR="00C8365E" w:rsidRDefault="00245460">
          <w:pPr>
            <w:pStyle w:val="TOC2"/>
            <w:rPr>
              <w:rFonts w:eastAsiaTheme="minorEastAsia" w:cstheme="minorBidi"/>
              <w:b w:val="0"/>
              <w:bCs w:val="0"/>
              <w:lang w:eastAsia="en-AU"/>
            </w:rPr>
          </w:pPr>
          <w:hyperlink w:anchor="_Toc66967200" w:history="1">
            <w:r w:rsidR="00C8365E" w:rsidRPr="00C959ED">
              <w:rPr>
                <w:rStyle w:val="Hyperlink"/>
              </w:rPr>
              <w:t>4.1.</w:t>
            </w:r>
            <w:r w:rsidR="00C8365E">
              <w:rPr>
                <w:rFonts w:eastAsiaTheme="minorEastAsia" w:cstheme="minorBidi"/>
                <w:b w:val="0"/>
                <w:bCs w:val="0"/>
                <w:lang w:eastAsia="en-AU"/>
              </w:rPr>
              <w:tab/>
            </w:r>
            <w:r w:rsidR="00C8365E" w:rsidRPr="00C959ED">
              <w:rPr>
                <w:rStyle w:val="Hyperlink"/>
              </w:rPr>
              <w:t>Representing faults in groundwater models</w:t>
            </w:r>
            <w:r w:rsidR="00C8365E">
              <w:rPr>
                <w:webHidden/>
              </w:rPr>
              <w:tab/>
            </w:r>
            <w:r w:rsidR="00C8365E">
              <w:rPr>
                <w:webHidden/>
              </w:rPr>
              <w:fldChar w:fldCharType="begin"/>
            </w:r>
            <w:r w:rsidR="00C8365E">
              <w:rPr>
                <w:webHidden/>
              </w:rPr>
              <w:instrText xml:space="preserve"> PAGEREF _Toc66967200 \h </w:instrText>
            </w:r>
            <w:r w:rsidR="00C8365E">
              <w:rPr>
                <w:webHidden/>
              </w:rPr>
            </w:r>
            <w:r w:rsidR="00C8365E">
              <w:rPr>
                <w:webHidden/>
              </w:rPr>
              <w:fldChar w:fldCharType="separate"/>
            </w:r>
            <w:r w:rsidR="00047351">
              <w:rPr>
                <w:webHidden/>
              </w:rPr>
              <w:t>29</w:t>
            </w:r>
            <w:r w:rsidR="00C8365E">
              <w:rPr>
                <w:webHidden/>
              </w:rPr>
              <w:fldChar w:fldCharType="end"/>
            </w:r>
          </w:hyperlink>
        </w:p>
        <w:p w14:paraId="1F1CF9C5" w14:textId="0584879F" w:rsidR="00C8365E" w:rsidRDefault="00245460">
          <w:pPr>
            <w:pStyle w:val="TOC2"/>
            <w:rPr>
              <w:rFonts w:eastAsiaTheme="minorEastAsia" w:cstheme="minorBidi"/>
              <w:b w:val="0"/>
              <w:bCs w:val="0"/>
              <w:lang w:eastAsia="en-AU"/>
            </w:rPr>
          </w:pPr>
          <w:hyperlink w:anchor="_Toc66967201" w:history="1">
            <w:r w:rsidR="00C8365E" w:rsidRPr="00C959ED">
              <w:rPr>
                <w:rStyle w:val="Hyperlink"/>
              </w:rPr>
              <w:t>4.2.</w:t>
            </w:r>
            <w:r w:rsidR="00C8365E">
              <w:rPr>
                <w:rFonts w:eastAsiaTheme="minorEastAsia" w:cstheme="minorBidi"/>
                <w:b w:val="0"/>
                <w:bCs w:val="0"/>
                <w:lang w:eastAsia="en-AU"/>
              </w:rPr>
              <w:tab/>
            </w:r>
            <w:r w:rsidR="00C8365E" w:rsidRPr="00C959ED">
              <w:rPr>
                <w:rStyle w:val="Hyperlink"/>
              </w:rPr>
              <w:t>Deriving prior estimates of fault and fracture parameters</w:t>
            </w:r>
            <w:r w:rsidR="00C8365E">
              <w:rPr>
                <w:webHidden/>
              </w:rPr>
              <w:tab/>
            </w:r>
            <w:r w:rsidR="00C8365E">
              <w:rPr>
                <w:webHidden/>
              </w:rPr>
              <w:fldChar w:fldCharType="begin"/>
            </w:r>
            <w:r w:rsidR="00C8365E">
              <w:rPr>
                <w:webHidden/>
              </w:rPr>
              <w:instrText xml:space="preserve"> PAGEREF _Toc66967201 \h </w:instrText>
            </w:r>
            <w:r w:rsidR="00C8365E">
              <w:rPr>
                <w:webHidden/>
              </w:rPr>
            </w:r>
            <w:r w:rsidR="00C8365E">
              <w:rPr>
                <w:webHidden/>
              </w:rPr>
              <w:fldChar w:fldCharType="separate"/>
            </w:r>
            <w:r w:rsidR="00047351">
              <w:rPr>
                <w:webHidden/>
              </w:rPr>
              <w:t>30</w:t>
            </w:r>
            <w:r w:rsidR="00C8365E">
              <w:rPr>
                <w:webHidden/>
              </w:rPr>
              <w:fldChar w:fldCharType="end"/>
            </w:r>
          </w:hyperlink>
        </w:p>
        <w:p w14:paraId="35A6AB0C" w14:textId="4769137D" w:rsidR="00C8365E" w:rsidRDefault="00245460">
          <w:pPr>
            <w:pStyle w:val="TOC2"/>
            <w:rPr>
              <w:rFonts w:eastAsiaTheme="minorEastAsia" w:cstheme="minorBidi"/>
              <w:b w:val="0"/>
              <w:bCs w:val="0"/>
              <w:lang w:eastAsia="en-AU"/>
            </w:rPr>
          </w:pPr>
          <w:hyperlink w:anchor="_Toc66967202" w:history="1">
            <w:r w:rsidR="00C8365E" w:rsidRPr="00C959ED">
              <w:rPr>
                <w:rStyle w:val="Hyperlink"/>
              </w:rPr>
              <w:t>4.3.</w:t>
            </w:r>
            <w:r w:rsidR="00C8365E">
              <w:rPr>
                <w:rFonts w:eastAsiaTheme="minorEastAsia" w:cstheme="minorBidi"/>
                <w:b w:val="0"/>
                <w:bCs w:val="0"/>
                <w:lang w:eastAsia="en-AU"/>
              </w:rPr>
              <w:tab/>
            </w:r>
            <w:r w:rsidR="00C8365E" w:rsidRPr="00C959ED">
              <w:rPr>
                <w:rStyle w:val="Hyperlink"/>
              </w:rPr>
              <w:t>Single continuum or EPM models</w:t>
            </w:r>
            <w:r w:rsidR="00C8365E">
              <w:rPr>
                <w:webHidden/>
              </w:rPr>
              <w:tab/>
            </w:r>
            <w:r w:rsidR="00C8365E">
              <w:rPr>
                <w:webHidden/>
              </w:rPr>
              <w:fldChar w:fldCharType="begin"/>
            </w:r>
            <w:r w:rsidR="00C8365E">
              <w:rPr>
                <w:webHidden/>
              </w:rPr>
              <w:instrText xml:space="preserve"> PAGEREF _Toc66967202 \h </w:instrText>
            </w:r>
            <w:r w:rsidR="00C8365E">
              <w:rPr>
                <w:webHidden/>
              </w:rPr>
            </w:r>
            <w:r w:rsidR="00C8365E">
              <w:rPr>
                <w:webHidden/>
              </w:rPr>
              <w:fldChar w:fldCharType="separate"/>
            </w:r>
            <w:r w:rsidR="00047351">
              <w:rPr>
                <w:webHidden/>
              </w:rPr>
              <w:t>33</w:t>
            </w:r>
            <w:r w:rsidR="00C8365E">
              <w:rPr>
                <w:webHidden/>
              </w:rPr>
              <w:fldChar w:fldCharType="end"/>
            </w:r>
          </w:hyperlink>
        </w:p>
        <w:p w14:paraId="55FCB2D7" w14:textId="79061FF8" w:rsidR="00C8365E" w:rsidRDefault="00245460">
          <w:pPr>
            <w:pStyle w:val="TOC3"/>
            <w:rPr>
              <w:rFonts w:eastAsiaTheme="minorEastAsia" w:cstheme="minorBidi"/>
              <w:sz w:val="22"/>
              <w:szCs w:val="22"/>
              <w:lang w:eastAsia="en-AU"/>
            </w:rPr>
          </w:pPr>
          <w:hyperlink w:anchor="_Toc66967203" w:history="1">
            <w:r w:rsidR="00C8365E" w:rsidRPr="00C959ED">
              <w:rPr>
                <w:rStyle w:val="Hyperlink"/>
              </w:rPr>
              <w:t>4.3.1.</w:t>
            </w:r>
            <w:r w:rsidR="00C8365E">
              <w:rPr>
                <w:rFonts w:eastAsiaTheme="minorEastAsia" w:cstheme="minorBidi"/>
                <w:sz w:val="22"/>
                <w:szCs w:val="22"/>
                <w:lang w:eastAsia="en-AU"/>
              </w:rPr>
              <w:tab/>
            </w:r>
            <w:r w:rsidR="00C8365E" w:rsidRPr="00C959ED">
              <w:rPr>
                <w:rStyle w:val="Hyperlink"/>
              </w:rPr>
              <w:t>Parameterisation devices</w:t>
            </w:r>
            <w:r w:rsidR="00C8365E">
              <w:rPr>
                <w:webHidden/>
              </w:rPr>
              <w:tab/>
            </w:r>
            <w:r w:rsidR="00C8365E">
              <w:rPr>
                <w:webHidden/>
              </w:rPr>
              <w:fldChar w:fldCharType="begin"/>
            </w:r>
            <w:r w:rsidR="00C8365E">
              <w:rPr>
                <w:webHidden/>
              </w:rPr>
              <w:instrText xml:space="preserve"> PAGEREF _Toc66967203 \h </w:instrText>
            </w:r>
            <w:r w:rsidR="00C8365E">
              <w:rPr>
                <w:webHidden/>
              </w:rPr>
            </w:r>
            <w:r w:rsidR="00C8365E">
              <w:rPr>
                <w:webHidden/>
              </w:rPr>
              <w:fldChar w:fldCharType="separate"/>
            </w:r>
            <w:r w:rsidR="00047351">
              <w:rPr>
                <w:webHidden/>
              </w:rPr>
              <w:t>33</w:t>
            </w:r>
            <w:r w:rsidR="00C8365E">
              <w:rPr>
                <w:webHidden/>
              </w:rPr>
              <w:fldChar w:fldCharType="end"/>
            </w:r>
          </w:hyperlink>
        </w:p>
        <w:p w14:paraId="5A65C6E2" w14:textId="17DD69C7" w:rsidR="00C8365E" w:rsidRDefault="00245460">
          <w:pPr>
            <w:pStyle w:val="TOC3"/>
            <w:rPr>
              <w:rFonts w:eastAsiaTheme="minorEastAsia" w:cstheme="minorBidi"/>
              <w:sz w:val="22"/>
              <w:szCs w:val="22"/>
              <w:lang w:eastAsia="en-AU"/>
            </w:rPr>
          </w:pPr>
          <w:hyperlink w:anchor="_Toc66967204" w:history="1">
            <w:r w:rsidR="00C8365E" w:rsidRPr="00C959ED">
              <w:rPr>
                <w:rStyle w:val="Hyperlink"/>
              </w:rPr>
              <w:t>4.3.2.</w:t>
            </w:r>
            <w:r w:rsidR="00C8365E">
              <w:rPr>
                <w:rFonts w:eastAsiaTheme="minorEastAsia" w:cstheme="minorBidi"/>
                <w:sz w:val="22"/>
                <w:szCs w:val="22"/>
                <w:lang w:eastAsia="en-AU"/>
              </w:rPr>
              <w:tab/>
            </w:r>
            <w:r w:rsidR="00C8365E" w:rsidRPr="00C959ED">
              <w:rPr>
                <w:rStyle w:val="Hyperlink"/>
              </w:rPr>
              <w:t>History matching and uncertainty quantification</w:t>
            </w:r>
            <w:r w:rsidR="00C8365E">
              <w:rPr>
                <w:webHidden/>
              </w:rPr>
              <w:tab/>
            </w:r>
            <w:r w:rsidR="00C8365E">
              <w:rPr>
                <w:webHidden/>
              </w:rPr>
              <w:fldChar w:fldCharType="begin"/>
            </w:r>
            <w:r w:rsidR="00C8365E">
              <w:rPr>
                <w:webHidden/>
              </w:rPr>
              <w:instrText xml:space="preserve"> PAGEREF _Toc66967204 \h </w:instrText>
            </w:r>
            <w:r w:rsidR="00C8365E">
              <w:rPr>
                <w:webHidden/>
              </w:rPr>
            </w:r>
            <w:r w:rsidR="00C8365E">
              <w:rPr>
                <w:webHidden/>
              </w:rPr>
              <w:fldChar w:fldCharType="separate"/>
            </w:r>
            <w:r w:rsidR="00047351">
              <w:rPr>
                <w:webHidden/>
              </w:rPr>
              <w:t>34</w:t>
            </w:r>
            <w:r w:rsidR="00C8365E">
              <w:rPr>
                <w:webHidden/>
              </w:rPr>
              <w:fldChar w:fldCharType="end"/>
            </w:r>
          </w:hyperlink>
        </w:p>
        <w:p w14:paraId="0D8BB1B5" w14:textId="53669CDC" w:rsidR="00C8365E" w:rsidRDefault="00245460">
          <w:pPr>
            <w:pStyle w:val="TOC2"/>
            <w:rPr>
              <w:rFonts w:eastAsiaTheme="minorEastAsia" w:cstheme="minorBidi"/>
              <w:b w:val="0"/>
              <w:bCs w:val="0"/>
              <w:lang w:eastAsia="en-AU"/>
            </w:rPr>
          </w:pPr>
          <w:hyperlink w:anchor="_Toc66967205" w:history="1">
            <w:r w:rsidR="00C8365E" w:rsidRPr="00C959ED">
              <w:rPr>
                <w:rStyle w:val="Hyperlink"/>
              </w:rPr>
              <w:t>4.4.</w:t>
            </w:r>
            <w:r w:rsidR="00C8365E">
              <w:rPr>
                <w:rFonts w:eastAsiaTheme="minorEastAsia" w:cstheme="minorBidi"/>
                <w:b w:val="0"/>
                <w:bCs w:val="0"/>
                <w:lang w:eastAsia="en-AU"/>
              </w:rPr>
              <w:tab/>
            </w:r>
            <w:r w:rsidR="00C8365E" w:rsidRPr="00C959ED">
              <w:rPr>
                <w:rStyle w:val="Hyperlink"/>
              </w:rPr>
              <w:t>Dual continuum models</w:t>
            </w:r>
            <w:r w:rsidR="00C8365E">
              <w:rPr>
                <w:webHidden/>
              </w:rPr>
              <w:tab/>
            </w:r>
            <w:r w:rsidR="00C8365E">
              <w:rPr>
                <w:webHidden/>
              </w:rPr>
              <w:fldChar w:fldCharType="begin"/>
            </w:r>
            <w:r w:rsidR="00C8365E">
              <w:rPr>
                <w:webHidden/>
              </w:rPr>
              <w:instrText xml:space="preserve"> PAGEREF _Toc66967205 \h </w:instrText>
            </w:r>
            <w:r w:rsidR="00C8365E">
              <w:rPr>
                <w:webHidden/>
              </w:rPr>
            </w:r>
            <w:r w:rsidR="00C8365E">
              <w:rPr>
                <w:webHidden/>
              </w:rPr>
              <w:fldChar w:fldCharType="separate"/>
            </w:r>
            <w:r w:rsidR="00047351">
              <w:rPr>
                <w:webHidden/>
              </w:rPr>
              <w:t>34</w:t>
            </w:r>
            <w:r w:rsidR="00C8365E">
              <w:rPr>
                <w:webHidden/>
              </w:rPr>
              <w:fldChar w:fldCharType="end"/>
            </w:r>
          </w:hyperlink>
        </w:p>
        <w:p w14:paraId="432D2BEB" w14:textId="688BB3C5" w:rsidR="00C8365E" w:rsidRDefault="00245460">
          <w:pPr>
            <w:pStyle w:val="TOC3"/>
            <w:rPr>
              <w:rFonts w:eastAsiaTheme="minorEastAsia" w:cstheme="minorBidi"/>
              <w:sz w:val="22"/>
              <w:szCs w:val="22"/>
              <w:lang w:eastAsia="en-AU"/>
            </w:rPr>
          </w:pPr>
          <w:hyperlink w:anchor="_Toc66967206" w:history="1">
            <w:r w:rsidR="00C8365E" w:rsidRPr="00C959ED">
              <w:rPr>
                <w:rStyle w:val="Hyperlink"/>
              </w:rPr>
              <w:t>4.4.1.</w:t>
            </w:r>
            <w:r w:rsidR="00C8365E">
              <w:rPr>
                <w:rFonts w:eastAsiaTheme="minorEastAsia" w:cstheme="minorBidi"/>
                <w:sz w:val="22"/>
                <w:szCs w:val="22"/>
                <w:lang w:eastAsia="en-AU"/>
              </w:rPr>
              <w:tab/>
            </w:r>
            <w:r w:rsidR="00C8365E" w:rsidRPr="00C959ED">
              <w:rPr>
                <w:rStyle w:val="Hyperlink"/>
              </w:rPr>
              <w:t>Parameterisation devices</w:t>
            </w:r>
            <w:r w:rsidR="00C8365E">
              <w:rPr>
                <w:webHidden/>
              </w:rPr>
              <w:tab/>
            </w:r>
            <w:r w:rsidR="00C8365E">
              <w:rPr>
                <w:webHidden/>
              </w:rPr>
              <w:fldChar w:fldCharType="begin"/>
            </w:r>
            <w:r w:rsidR="00C8365E">
              <w:rPr>
                <w:webHidden/>
              </w:rPr>
              <w:instrText xml:space="preserve"> PAGEREF _Toc66967206 \h </w:instrText>
            </w:r>
            <w:r w:rsidR="00C8365E">
              <w:rPr>
                <w:webHidden/>
              </w:rPr>
            </w:r>
            <w:r w:rsidR="00C8365E">
              <w:rPr>
                <w:webHidden/>
              </w:rPr>
              <w:fldChar w:fldCharType="separate"/>
            </w:r>
            <w:r w:rsidR="00047351">
              <w:rPr>
                <w:webHidden/>
              </w:rPr>
              <w:t>34</w:t>
            </w:r>
            <w:r w:rsidR="00C8365E">
              <w:rPr>
                <w:webHidden/>
              </w:rPr>
              <w:fldChar w:fldCharType="end"/>
            </w:r>
          </w:hyperlink>
        </w:p>
        <w:p w14:paraId="36FAB4EE" w14:textId="0A9C6802" w:rsidR="00C8365E" w:rsidRDefault="00245460">
          <w:pPr>
            <w:pStyle w:val="TOC3"/>
            <w:rPr>
              <w:rFonts w:eastAsiaTheme="minorEastAsia" w:cstheme="minorBidi"/>
              <w:sz w:val="22"/>
              <w:szCs w:val="22"/>
              <w:lang w:eastAsia="en-AU"/>
            </w:rPr>
          </w:pPr>
          <w:hyperlink w:anchor="_Toc66967207" w:history="1">
            <w:r w:rsidR="00C8365E" w:rsidRPr="00C959ED">
              <w:rPr>
                <w:rStyle w:val="Hyperlink"/>
              </w:rPr>
              <w:t>4.4.2.</w:t>
            </w:r>
            <w:r w:rsidR="00C8365E">
              <w:rPr>
                <w:rFonts w:eastAsiaTheme="minorEastAsia" w:cstheme="minorBidi"/>
                <w:sz w:val="22"/>
                <w:szCs w:val="22"/>
                <w:lang w:eastAsia="en-AU"/>
              </w:rPr>
              <w:tab/>
            </w:r>
            <w:r w:rsidR="00C8365E" w:rsidRPr="00C959ED">
              <w:rPr>
                <w:rStyle w:val="Hyperlink"/>
              </w:rPr>
              <w:t>History matching and uncertainty quantification</w:t>
            </w:r>
            <w:r w:rsidR="00C8365E">
              <w:rPr>
                <w:webHidden/>
              </w:rPr>
              <w:tab/>
            </w:r>
            <w:r w:rsidR="00C8365E">
              <w:rPr>
                <w:webHidden/>
              </w:rPr>
              <w:fldChar w:fldCharType="begin"/>
            </w:r>
            <w:r w:rsidR="00C8365E">
              <w:rPr>
                <w:webHidden/>
              </w:rPr>
              <w:instrText xml:space="preserve"> PAGEREF _Toc66967207 \h </w:instrText>
            </w:r>
            <w:r w:rsidR="00C8365E">
              <w:rPr>
                <w:webHidden/>
              </w:rPr>
            </w:r>
            <w:r w:rsidR="00C8365E">
              <w:rPr>
                <w:webHidden/>
              </w:rPr>
              <w:fldChar w:fldCharType="separate"/>
            </w:r>
            <w:r w:rsidR="00047351">
              <w:rPr>
                <w:webHidden/>
              </w:rPr>
              <w:t>35</w:t>
            </w:r>
            <w:r w:rsidR="00C8365E">
              <w:rPr>
                <w:webHidden/>
              </w:rPr>
              <w:fldChar w:fldCharType="end"/>
            </w:r>
          </w:hyperlink>
        </w:p>
        <w:p w14:paraId="4AFBF124" w14:textId="415510B8" w:rsidR="00C8365E" w:rsidRDefault="00245460">
          <w:pPr>
            <w:pStyle w:val="TOC2"/>
            <w:rPr>
              <w:rFonts w:eastAsiaTheme="minorEastAsia" w:cstheme="minorBidi"/>
              <w:b w:val="0"/>
              <w:bCs w:val="0"/>
              <w:lang w:eastAsia="en-AU"/>
            </w:rPr>
          </w:pPr>
          <w:hyperlink w:anchor="_Toc66967208" w:history="1">
            <w:r w:rsidR="00C8365E" w:rsidRPr="00C959ED">
              <w:rPr>
                <w:rStyle w:val="Hyperlink"/>
              </w:rPr>
              <w:t>4.5.</w:t>
            </w:r>
            <w:r w:rsidR="00C8365E">
              <w:rPr>
                <w:rFonts w:eastAsiaTheme="minorEastAsia" w:cstheme="minorBidi"/>
                <w:b w:val="0"/>
                <w:bCs w:val="0"/>
                <w:lang w:eastAsia="en-AU"/>
              </w:rPr>
              <w:tab/>
            </w:r>
            <w:r w:rsidR="00C8365E" w:rsidRPr="00C959ED">
              <w:rPr>
                <w:rStyle w:val="Hyperlink"/>
              </w:rPr>
              <w:t>Poro-elastic modelling approaches</w:t>
            </w:r>
            <w:r w:rsidR="00C8365E">
              <w:rPr>
                <w:webHidden/>
              </w:rPr>
              <w:tab/>
            </w:r>
            <w:r w:rsidR="00C8365E">
              <w:rPr>
                <w:webHidden/>
              </w:rPr>
              <w:fldChar w:fldCharType="begin"/>
            </w:r>
            <w:r w:rsidR="00C8365E">
              <w:rPr>
                <w:webHidden/>
              </w:rPr>
              <w:instrText xml:space="preserve"> PAGEREF _Toc66967208 \h </w:instrText>
            </w:r>
            <w:r w:rsidR="00C8365E">
              <w:rPr>
                <w:webHidden/>
              </w:rPr>
            </w:r>
            <w:r w:rsidR="00C8365E">
              <w:rPr>
                <w:webHidden/>
              </w:rPr>
              <w:fldChar w:fldCharType="separate"/>
            </w:r>
            <w:r w:rsidR="00047351">
              <w:rPr>
                <w:webHidden/>
              </w:rPr>
              <w:t>35</w:t>
            </w:r>
            <w:r w:rsidR="00C8365E">
              <w:rPr>
                <w:webHidden/>
              </w:rPr>
              <w:fldChar w:fldCharType="end"/>
            </w:r>
          </w:hyperlink>
        </w:p>
        <w:p w14:paraId="3E5ED462" w14:textId="01F6518F" w:rsidR="00C8365E" w:rsidRDefault="00245460">
          <w:pPr>
            <w:pStyle w:val="TOC1"/>
            <w:rPr>
              <w:rFonts w:eastAsiaTheme="minorEastAsia" w:cstheme="minorBidi"/>
              <w:b w:val="0"/>
              <w:bCs w:val="0"/>
              <w:iCs w:val="0"/>
              <w:lang w:eastAsia="en-AU"/>
            </w:rPr>
          </w:pPr>
          <w:hyperlink w:anchor="_Toc66967209" w:history="1">
            <w:r w:rsidR="00C8365E" w:rsidRPr="00C959ED">
              <w:rPr>
                <w:rStyle w:val="Hyperlink"/>
              </w:rPr>
              <w:t>5.</w:t>
            </w:r>
            <w:r w:rsidR="00C8365E">
              <w:rPr>
                <w:rFonts w:eastAsiaTheme="minorEastAsia" w:cstheme="minorBidi"/>
                <w:b w:val="0"/>
                <w:bCs w:val="0"/>
                <w:iCs w:val="0"/>
                <w:lang w:eastAsia="en-AU"/>
              </w:rPr>
              <w:tab/>
            </w:r>
            <w:r w:rsidR="00C8365E" w:rsidRPr="00C959ED">
              <w:rPr>
                <w:rStyle w:val="Hyperlink"/>
              </w:rPr>
              <w:t>Summary and project evaluation checklist</w:t>
            </w:r>
            <w:r w:rsidR="00C8365E">
              <w:rPr>
                <w:webHidden/>
              </w:rPr>
              <w:tab/>
            </w:r>
            <w:r w:rsidR="00C8365E">
              <w:rPr>
                <w:webHidden/>
              </w:rPr>
              <w:fldChar w:fldCharType="begin"/>
            </w:r>
            <w:r w:rsidR="00C8365E">
              <w:rPr>
                <w:webHidden/>
              </w:rPr>
              <w:instrText xml:space="preserve"> PAGEREF _Toc66967209 \h </w:instrText>
            </w:r>
            <w:r w:rsidR="00C8365E">
              <w:rPr>
                <w:webHidden/>
              </w:rPr>
            </w:r>
            <w:r w:rsidR="00C8365E">
              <w:rPr>
                <w:webHidden/>
              </w:rPr>
              <w:fldChar w:fldCharType="separate"/>
            </w:r>
            <w:r w:rsidR="00047351">
              <w:rPr>
                <w:webHidden/>
              </w:rPr>
              <w:t>36</w:t>
            </w:r>
            <w:r w:rsidR="00C8365E">
              <w:rPr>
                <w:webHidden/>
              </w:rPr>
              <w:fldChar w:fldCharType="end"/>
            </w:r>
          </w:hyperlink>
        </w:p>
        <w:p w14:paraId="5706996E" w14:textId="5C22ABAF" w:rsidR="00C8365E" w:rsidRDefault="00245460">
          <w:pPr>
            <w:pStyle w:val="TOC2"/>
            <w:rPr>
              <w:rFonts w:eastAsiaTheme="minorEastAsia" w:cstheme="minorBidi"/>
              <w:b w:val="0"/>
              <w:bCs w:val="0"/>
              <w:lang w:eastAsia="en-AU"/>
            </w:rPr>
          </w:pPr>
          <w:hyperlink w:anchor="_Toc66967210" w:history="1">
            <w:r w:rsidR="00C8365E" w:rsidRPr="00C959ED">
              <w:rPr>
                <w:rStyle w:val="Hyperlink"/>
              </w:rPr>
              <w:t>5.1.</w:t>
            </w:r>
            <w:r w:rsidR="00C8365E">
              <w:rPr>
                <w:rFonts w:eastAsiaTheme="minorEastAsia" w:cstheme="minorBidi"/>
                <w:b w:val="0"/>
                <w:bCs w:val="0"/>
                <w:lang w:eastAsia="en-AU"/>
              </w:rPr>
              <w:tab/>
            </w:r>
            <w:r w:rsidR="00C8365E" w:rsidRPr="00C959ED">
              <w:rPr>
                <w:rStyle w:val="Hyperlink"/>
              </w:rPr>
              <w:t>Summary</w:t>
            </w:r>
            <w:r w:rsidR="00C8365E">
              <w:rPr>
                <w:webHidden/>
              </w:rPr>
              <w:tab/>
            </w:r>
            <w:r w:rsidR="00C8365E">
              <w:rPr>
                <w:webHidden/>
              </w:rPr>
              <w:fldChar w:fldCharType="begin"/>
            </w:r>
            <w:r w:rsidR="00C8365E">
              <w:rPr>
                <w:webHidden/>
              </w:rPr>
              <w:instrText xml:space="preserve"> PAGEREF _Toc66967210 \h </w:instrText>
            </w:r>
            <w:r w:rsidR="00C8365E">
              <w:rPr>
                <w:webHidden/>
              </w:rPr>
            </w:r>
            <w:r w:rsidR="00C8365E">
              <w:rPr>
                <w:webHidden/>
              </w:rPr>
              <w:fldChar w:fldCharType="separate"/>
            </w:r>
            <w:r w:rsidR="00047351">
              <w:rPr>
                <w:webHidden/>
              </w:rPr>
              <w:t>36</w:t>
            </w:r>
            <w:r w:rsidR="00C8365E">
              <w:rPr>
                <w:webHidden/>
              </w:rPr>
              <w:fldChar w:fldCharType="end"/>
            </w:r>
          </w:hyperlink>
        </w:p>
        <w:p w14:paraId="3338E508" w14:textId="49783F9A" w:rsidR="00C8365E" w:rsidRDefault="00245460">
          <w:pPr>
            <w:pStyle w:val="TOC2"/>
            <w:rPr>
              <w:rFonts w:eastAsiaTheme="minorEastAsia" w:cstheme="minorBidi"/>
              <w:b w:val="0"/>
              <w:bCs w:val="0"/>
              <w:lang w:eastAsia="en-AU"/>
            </w:rPr>
          </w:pPr>
          <w:hyperlink w:anchor="_Toc66967211" w:history="1">
            <w:r w:rsidR="00C8365E" w:rsidRPr="00C959ED">
              <w:rPr>
                <w:rStyle w:val="Hyperlink"/>
              </w:rPr>
              <w:t>5.2.</w:t>
            </w:r>
            <w:r w:rsidR="00C8365E">
              <w:rPr>
                <w:rFonts w:eastAsiaTheme="minorEastAsia" w:cstheme="minorBidi"/>
                <w:b w:val="0"/>
                <w:bCs w:val="0"/>
                <w:lang w:eastAsia="en-AU"/>
              </w:rPr>
              <w:tab/>
            </w:r>
            <w:r w:rsidR="00C8365E" w:rsidRPr="00C959ED">
              <w:rPr>
                <w:rStyle w:val="Hyperlink"/>
              </w:rPr>
              <w:t>Project evaluation checklist</w:t>
            </w:r>
            <w:r w:rsidR="00C8365E">
              <w:rPr>
                <w:webHidden/>
              </w:rPr>
              <w:tab/>
            </w:r>
            <w:r w:rsidR="00C8365E">
              <w:rPr>
                <w:webHidden/>
              </w:rPr>
              <w:fldChar w:fldCharType="begin"/>
            </w:r>
            <w:r w:rsidR="00C8365E">
              <w:rPr>
                <w:webHidden/>
              </w:rPr>
              <w:instrText xml:space="preserve"> PAGEREF _Toc66967211 \h </w:instrText>
            </w:r>
            <w:r w:rsidR="00C8365E">
              <w:rPr>
                <w:webHidden/>
              </w:rPr>
            </w:r>
            <w:r w:rsidR="00C8365E">
              <w:rPr>
                <w:webHidden/>
              </w:rPr>
              <w:fldChar w:fldCharType="separate"/>
            </w:r>
            <w:r w:rsidR="00047351">
              <w:rPr>
                <w:webHidden/>
              </w:rPr>
              <w:t>36</w:t>
            </w:r>
            <w:r w:rsidR="00C8365E">
              <w:rPr>
                <w:webHidden/>
              </w:rPr>
              <w:fldChar w:fldCharType="end"/>
            </w:r>
          </w:hyperlink>
        </w:p>
        <w:p w14:paraId="28B7361B" w14:textId="444C9571" w:rsidR="00C8365E" w:rsidRDefault="00245460">
          <w:pPr>
            <w:pStyle w:val="TOC3"/>
            <w:rPr>
              <w:rFonts w:eastAsiaTheme="minorEastAsia" w:cstheme="minorBidi"/>
              <w:sz w:val="22"/>
              <w:szCs w:val="22"/>
              <w:lang w:eastAsia="en-AU"/>
            </w:rPr>
          </w:pPr>
          <w:hyperlink w:anchor="_Toc66967212" w:history="1">
            <w:r w:rsidR="00C8365E" w:rsidRPr="00C959ED">
              <w:rPr>
                <w:rStyle w:val="Hyperlink"/>
              </w:rPr>
              <w:t>5.2.1.</w:t>
            </w:r>
            <w:r w:rsidR="00C8365E">
              <w:rPr>
                <w:rFonts w:eastAsiaTheme="minorEastAsia" w:cstheme="minorBidi"/>
                <w:sz w:val="22"/>
                <w:szCs w:val="22"/>
                <w:lang w:eastAsia="en-AU"/>
              </w:rPr>
              <w:tab/>
            </w:r>
            <w:r w:rsidR="00C8365E" w:rsidRPr="00C959ED">
              <w:rPr>
                <w:rStyle w:val="Hyperlink"/>
              </w:rPr>
              <w:t>Geology</w:t>
            </w:r>
            <w:r w:rsidR="00C8365E">
              <w:rPr>
                <w:webHidden/>
              </w:rPr>
              <w:tab/>
            </w:r>
            <w:r w:rsidR="00C8365E">
              <w:rPr>
                <w:webHidden/>
              </w:rPr>
              <w:fldChar w:fldCharType="begin"/>
            </w:r>
            <w:r w:rsidR="00C8365E">
              <w:rPr>
                <w:webHidden/>
              </w:rPr>
              <w:instrText xml:space="preserve"> PAGEREF _Toc66967212 \h </w:instrText>
            </w:r>
            <w:r w:rsidR="00C8365E">
              <w:rPr>
                <w:webHidden/>
              </w:rPr>
            </w:r>
            <w:r w:rsidR="00C8365E">
              <w:rPr>
                <w:webHidden/>
              </w:rPr>
              <w:fldChar w:fldCharType="separate"/>
            </w:r>
            <w:r w:rsidR="00047351">
              <w:rPr>
                <w:webHidden/>
              </w:rPr>
              <w:t>36</w:t>
            </w:r>
            <w:r w:rsidR="00C8365E">
              <w:rPr>
                <w:webHidden/>
              </w:rPr>
              <w:fldChar w:fldCharType="end"/>
            </w:r>
          </w:hyperlink>
        </w:p>
        <w:p w14:paraId="17A36741" w14:textId="33C4992B" w:rsidR="00C8365E" w:rsidRDefault="00245460">
          <w:pPr>
            <w:pStyle w:val="TOC3"/>
            <w:rPr>
              <w:rFonts w:eastAsiaTheme="minorEastAsia" w:cstheme="minorBidi"/>
              <w:sz w:val="22"/>
              <w:szCs w:val="22"/>
              <w:lang w:eastAsia="en-AU"/>
            </w:rPr>
          </w:pPr>
          <w:hyperlink w:anchor="_Toc66967213" w:history="1">
            <w:r w:rsidR="00C8365E" w:rsidRPr="00C959ED">
              <w:rPr>
                <w:rStyle w:val="Hyperlink"/>
              </w:rPr>
              <w:t>5.2.2.</w:t>
            </w:r>
            <w:r w:rsidR="00C8365E">
              <w:rPr>
                <w:rFonts w:eastAsiaTheme="minorEastAsia" w:cstheme="minorBidi"/>
                <w:sz w:val="22"/>
                <w:szCs w:val="22"/>
                <w:lang w:eastAsia="en-AU"/>
              </w:rPr>
              <w:tab/>
            </w:r>
            <w:r w:rsidR="00C8365E" w:rsidRPr="00C959ED">
              <w:rPr>
                <w:rStyle w:val="Hyperlink"/>
              </w:rPr>
              <w:t>Hydrogeology</w:t>
            </w:r>
            <w:r w:rsidR="00C8365E">
              <w:rPr>
                <w:webHidden/>
              </w:rPr>
              <w:tab/>
            </w:r>
            <w:r w:rsidR="00C8365E">
              <w:rPr>
                <w:webHidden/>
              </w:rPr>
              <w:fldChar w:fldCharType="begin"/>
            </w:r>
            <w:r w:rsidR="00C8365E">
              <w:rPr>
                <w:webHidden/>
              </w:rPr>
              <w:instrText xml:space="preserve"> PAGEREF _Toc66967213 \h </w:instrText>
            </w:r>
            <w:r w:rsidR="00C8365E">
              <w:rPr>
                <w:webHidden/>
              </w:rPr>
            </w:r>
            <w:r w:rsidR="00C8365E">
              <w:rPr>
                <w:webHidden/>
              </w:rPr>
              <w:fldChar w:fldCharType="separate"/>
            </w:r>
            <w:r w:rsidR="00047351">
              <w:rPr>
                <w:webHidden/>
              </w:rPr>
              <w:t>36</w:t>
            </w:r>
            <w:r w:rsidR="00C8365E">
              <w:rPr>
                <w:webHidden/>
              </w:rPr>
              <w:fldChar w:fldCharType="end"/>
            </w:r>
          </w:hyperlink>
        </w:p>
        <w:p w14:paraId="72BCD9FD" w14:textId="3D8B97F3" w:rsidR="00C8365E" w:rsidRDefault="00245460">
          <w:pPr>
            <w:pStyle w:val="TOC3"/>
            <w:rPr>
              <w:rFonts w:eastAsiaTheme="minorEastAsia" w:cstheme="minorBidi"/>
              <w:sz w:val="22"/>
              <w:szCs w:val="22"/>
              <w:lang w:eastAsia="en-AU"/>
            </w:rPr>
          </w:pPr>
          <w:hyperlink w:anchor="_Toc66967214" w:history="1">
            <w:r w:rsidR="00C8365E" w:rsidRPr="00C959ED">
              <w:rPr>
                <w:rStyle w:val="Hyperlink"/>
              </w:rPr>
              <w:t>5.2.3.</w:t>
            </w:r>
            <w:r w:rsidR="00C8365E">
              <w:rPr>
                <w:rFonts w:eastAsiaTheme="minorEastAsia" w:cstheme="minorBidi"/>
                <w:sz w:val="22"/>
                <w:szCs w:val="22"/>
                <w:lang w:eastAsia="en-AU"/>
              </w:rPr>
              <w:tab/>
            </w:r>
            <w:r w:rsidR="00C8365E" w:rsidRPr="00C959ED">
              <w:rPr>
                <w:rStyle w:val="Hyperlink"/>
              </w:rPr>
              <w:t>Risk Assessment</w:t>
            </w:r>
            <w:r w:rsidR="00C8365E">
              <w:rPr>
                <w:webHidden/>
              </w:rPr>
              <w:tab/>
            </w:r>
            <w:r w:rsidR="00C8365E">
              <w:rPr>
                <w:webHidden/>
              </w:rPr>
              <w:fldChar w:fldCharType="begin"/>
            </w:r>
            <w:r w:rsidR="00C8365E">
              <w:rPr>
                <w:webHidden/>
              </w:rPr>
              <w:instrText xml:space="preserve"> PAGEREF _Toc66967214 \h </w:instrText>
            </w:r>
            <w:r w:rsidR="00C8365E">
              <w:rPr>
                <w:webHidden/>
              </w:rPr>
            </w:r>
            <w:r w:rsidR="00C8365E">
              <w:rPr>
                <w:webHidden/>
              </w:rPr>
              <w:fldChar w:fldCharType="separate"/>
            </w:r>
            <w:r w:rsidR="00047351">
              <w:rPr>
                <w:webHidden/>
              </w:rPr>
              <w:t>37</w:t>
            </w:r>
            <w:r w:rsidR="00C8365E">
              <w:rPr>
                <w:webHidden/>
              </w:rPr>
              <w:fldChar w:fldCharType="end"/>
            </w:r>
          </w:hyperlink>
        </w:p>
        <w:p w14:paraId="5203B3A6" w14:textId="52DF1934" w:rsidR="00C8365E" w:rsidRDefault="00245460">
          <w:pPr>
            <w:pStyle w:val="TOC1"/>
            <w:rPr>
              <w:rFonts w:eastAsiaTheme="minorEastAsia" w:cstheme="minorBidi"/>
              <w:b w:val="0"/>
              <w:bCs w:val="0"/>
              <w:iCs w:val="0"/>
              <w:lang w:eastAsia="en-AU"/>
            </w:rPr>
          </w:pPr>
          <w:hyperlink w:anchor="_Toc66967215" w:history="1">
            <w:r w:rsidR="00C8365E" w:rsidRPr="00C959ED">
              <w:rPr>
                <w:rStyle w:val="Hyperlink"/>
              </w:rPr>
              <w:t>Glossary</w:t>
            </w:r>
            <w:r w:rsidR="00C8365E">
              <w:rPr>
                <w:webHidden/>
              </w:rPr>
              <w:tab/>
            </w:r>
            <w:r w:rsidR="00C8365E">
              <w:rPr>
                <w:webHidden/>
              </w:rPr>
              <w:fldChar w:fldCharType="begin"/>
            </w:r>
            <w:r w:rsidR="00C8365E">
              <w:rPr>
                <w:webHidden/>
              </w:rPr>
              <w:instrText xml:space="preserve"> PAGEREF _Toc66967215 \h </w:instrText>
            </w:r>
            <w:r w:rsidR="00C8365E">
              <w:rPr>
                <w:webHidden/>
              </w:rPr>
            </w:r>
            <w:r w:rsidR="00C8365E">
              <w:rPr>
                <w:webHidden/>
              </w:rPr>
              <w:fldChar w:fldCharType="separate"/>
            </w:r>
            <w:r w:rsidR="00047351">
              <w:rPr>
                <w:webHidden/>
              </w:rPr>
              <w:t>39</w:t>
            </w:r>
            <w:r w:rsidR="00C8365E">
              <w:rPr>
                <w:webHidden/>
              </w:rPr>
              <w:fldChar w:fldCharType="end"/>
            </w:r>
          </w:hyperlink>
        </w:p>
        <w:p w14:paraId="730FC124" w14:textId="710D1C2E" w:rsidR="00C8365E" w:rsidRDefault="00245460">
          <w:pPr>
            <w:pStyle w:val="TOC1"/>
            <w:rPr>
              <w:rFonts w:eastAsiaTheme="minorEastAsia" w:cstheme="minorBidi"/>
              <w:b w:val="0"/>
              <w:bCs w:val="0"/>
              <w:iCs w:val="0"/>
              <w:lang w:eastAsia="en-AU"/>
            </w:rPr>
          </w:pPr>
          <w:hyperlink w:anchor="_Toc66967216" w:history="1">
            <w:r w:rsidR="00C8365E" w:rsidRPr="00C959ED">
              <w:rPr>
                <w:rStyle w:val="Hyperlink"/>
              </w:rPr>
              <w:t>References</w:t>
            </w:r>
            <w:r w:rsidR="00C8365E">
              <w:rPr>
                <w:webHidden/>
              </w:rPr>
              <w:tab/>
            </w:r>
            <w:r w:rsidR="00C8365E">
              <w:rPr>
                <w:webHidden/>
              </w:rPr>
              <w:fldChar w:fldCharType="begin"/>
            </w:r>
            <w:r w:rsidR="00C8365E">
              <w:rPr>
                <w:webHidden/>
              </w:rPr>
              <w:instrText xml:space="preserve"> PAGEREF _Toc66967216 \h </w:instrText>
            </w:r>
            <w:r w:rsidR="00C8365E">
              <w:rPr>
                <w:webHidden/>
              </w:rPr>
            </w:r>
            <w:r w:rsidR="00C8365E">
              <w:rPr>
                <w:webHidden/>
              </w:rPr>
              <w:fldChar w:fldCharType="separate"/>
            </w:r>
            <w:r w:rsidR="00047351">
              <w:rPr>
                <w:webHidden/>
              </w:rPr>
              <w:t>42</w:t>
            </w:r>
            <w:r w:rsidR="00C8365E">
              <w:rPr>
                <w:webHidden/>
              </w:rPr>
              <w:fldChar w:fldCharType="end"/>
            </w:r>
          </w:hyperlink>
        </w:p>
        <w:p w14:paraId="3E717A1D" w14:textId="3675BE01" w:rsidR="00C8365E" w:rsidRDefault="00245460">
          <w:pPr>
            <w:pStyle w:val="TOC1"/>
            <w:rPr>
              <w:rFonts w:eastAsiaTheme="minorEastAsia" w:cstheme="minorBidi"/>
              <w:b w:val="0"/>
              <w:bCs w:val="0"/>
              <w:iCs w:val="0"/>
              <w:lang w:eastAsia="en-AU"/>
            </w:rPr>
          </w:pPr>
          <w:hyperlink w:anchor="_Toc66967217" w:history="1">
            <w:r w:rsidR="00C8365E" w:rsidRPr="00C959ED">
              <w:rPr>
                <w:rStyle w:val="Hyperlink"/>
              </w:rPr>
              <w:t>Appendices</w:t>
            </w:r>
            <w:r w:rsidR="00C8365E">
              <w:rPr>
                <w:webHidden/>
              </w:rPr>
              <w:tab/>
            </w:r>
            <w:r w:rsidR="00C8365E">
              <w:rPr>
                <w:webHidden/>
              </w:rPr>
              <w:fldChar w:fldCharType="begin"/>
            </w:r>
            <w:r w:rsidR="00C8365E">
              <w:rPr>
                <w:webHidden/>
              </w:rPr>
              <w:instrText xml:space="preserve"> PAGEREF _Toc66967217 \h </w:instrText>
            </w:r>
            <w:r w:rsidR="00C8365E">
              <w:rPr>
                <w:webHidden/>
              </w:rPr>
            </w:r>
            <w:r w:rsidR="00C8365E">
              <w:rPr>
                <w:webHidden/>
              </w:rPr>
              <w:fldChar w:fldCharType="separate"/>
            </w:r>
            <w:r w:rsidR="00047351">
              <w:rPr>
                <w:webHidden/>
              </w:rPr>
              <w:t>46</w:t>
            </w:r>
            <w:r w:rsidR="00C8365E">
              <w:rPr>
                <w:webHidden/>
              </w:rPr>
              <w:fldChar w:fldCharType="end"/>
            </w:r>
          </w:hyperlink>
        </w:p>
        <w:p w14:paraId="22668414" w14:textId="4E606C3E" w:rsidR="00C8365E" w:rsidRDefault="00245460">
          <w:pPr>
            <w:pStyle w:val="TOC1"/>
            <w:rPr>
              <w:rFonts w:eastAsiaTheme="minorEastAsia" w:cstheme="minorBidi"/>
              <w:b w:val="0"/>
              <w:bCs w:val="0"/>
              <w:iCs w:val="0"/>
              <w:lang w:eastAsia="en-AU"/>
            </w:rPr>
          </w:pPr>
          <w:hyperlink w:anchor="_Toc66967218" w:history="1">
            <w:r w:rsidR="00C8365E" w:rsidRPr="00C959ED">
              <w:rPr>
                <w:rStyle w:val="Hyperlink"/>
              </w:rPr>
              <w:t>Example Scenario A-1 There are no faults</w:t>
            </w:r>
            <w:r w:rsidR="00C8365E">
              <w:rPr>
                <w:webHidden/>
              </w:rPr>
              <w:tab/>
            </w:r>
            <w:r w:rsidR="00C8365E">
              <w:rPr>
                <w:webHidden/>
              </w:rPr>
              <w:fldChar w:fldCharType="begin"/>
            </w:r>
            <w:r w:rsidR="00C8365E">
              <w:rPr>
                <w:webHidden/>
              </w:rPr>
              <w:instrText xml:space="preserve"> PAGEREF _Toc66967218 \h </w:instrText>
            </w:r>
            <w:r w:rsidR="00C8365E">
              <w:rPr>
                <w:webHidden/>
              </w:rPr>
            </w:r>
            <w:r w:rsidR="00C8365E">
              <w:rPr>
                <w:webHidden/>
              </w:rPr>
              <w:fldChar w:fldCharType="separate"/>
            </w:r>
            <w:r w:rsidR="00047351">
              <w:rPr>
                <w:webHidden/>
              </w:rPr>
              <w:t>47</w:t>
            </w:r>
            <w:r w:rsidR="00C8365E">
              <w:rPr>
                <w:webHidden/>
              </w:rPr>
              <w:fldChar w:fldCharType="end"/>
            </w:r>
          </w:hyperlink>
        </w:p>
        <w:p w14:paraId="51E5A910" w14:textId="0B24E7FC" w:rsidR="00C8365E" w:rsidRDefault="00245460">
          <w:pPr>
            <w:pStyle w:val="TOC3"/>
            <w:rPr>
              <w:rFonts w:eastAsiaTheme="minorEastAsia" w:cstheme="minorBidi"/>
              <w:sz w:val="22"/>
              <w:szCs w:val="22"/>
              <w:lang w:eastAsia="en-AU"/>
            </w:rPr>
          </w:pPr>
          <w:hyperlink w:anchor="_Toc66967219" w:history="1">
            <w:r w:rsidR="00C8365E" w:rsidRPr="00C959ED">
              <w:rPr>
                <w:rStyle w:val="Hyperlink"/>
              </w:rPr>
              <w:t>Initial risk profile given geology and groundwater conditions</w:t>
            </w:r>
            <w:r w:rsidR="00C8365E">
              <w:rPr>
                <w:webHidden/>
              </w:rPr>
              <w:tab/>
            </w:r>
            <w:r w:rsidR="00C8365E">
              <w:rPr>
                <w:webHidden/>
              </w:rPr>
              <w:fldChar w:fldCharType="begin"/>
            </w:r>
            <w:r w:rsidR="00C8365E">
              <w:rPr>
                <w:webHidden/>
              </w:rPr>
              <w:instrText xml:space="preserve"> PAGEREF _Toc66967219 \h </w:instrText>
            </w:r>
            <w:r w:rsidR="00C8365E">
              <w:rPr>
                <w:webHidden/>
              </w:rPr>
            </w:r>
            <w:r w:rsidR="00C8365E">
              <w:rPr>
                <w:webHidden/>
              </w:rPr>
              <w:fldChar w:fldCharType="separate"/>
            </w:r>
            <w:r w:rsidR="00047351">
              <w:rPr>
                <w:webHidden/>
              </w:rPr>
              <w:t>47</w:t>
            </w:r>
            <w:r w:rsidR="00C8365E">
              <w:rPr>
                <w:webHidden/>
              </w:rPr>
              <w:fldChar w:fldCharType="end"/>
            </w:r>
          </w:hyperlink>
        </w:p>
        <w:p w14:paraId="7293B4AF" w14:textId="50917D5C" w:rsidR="00C8365E" w:rsidRDefault="00245460">
          <w:pPr>
            <w:pStyle w:val="TOC3"/>
            <w:rPr>
              <w:rFonts w:eastAsiaTheme="minorEastAsia" w:cstheme="minorBidi"/>
              <w:sz w:val="22"/>
              <w:szCs w:val="22"/>
              <w:lang w:eastAsia="en-AU"/>
            </w:rPr>
          </w:pPr>
          <w:hyperlink w:anchor="_Toc66967220" w:history="1">
            <w:r w:rsidR="00C8365E" w:rsidRPr="00C959ED">
              <w:rPr>
                <w:rStyle w:val="Hyperlink"/>
              </w:rPr>
              <w:t>Site-based evidence</w:t>
            </w:r>
            <w:r w:rsidR="00C8365E">
              <w:rPr>
                <w:webHidden/>
              </w:rPr>
              <w:tab/>
            </w:r>
            <w:r w:rsidR="00C8365E">
              <w:rPr>
                <w:webHidden/>
              </w:rPr>
              <w:fldChar w:fldCharType="begin"/>
            </w:r>
            <w:r w:rsidR="00C8365E">
              <w:rPr>
                <w:webHidden/>
              </w:rPr>
              <w:instrText xml:space="preserve"> PAGEREF _Toc66967220 \h </w:instrText>
            </w:r>
            <w:r w:rsidR="00C8365E">
              <w:rPr>
                <w:webHidden/>
              </w:rPr>
            </w:r>
            <w:r w:rsidR="00C8365E">
              <w:rPr>
                <w:webHidden/>
              </w:rPr>
              <w:fldChar w:fldCharType="separate"/>
            </w:r>
            <w:r w:rsidR="00047351">
              <w:rPr>
                <w:webHidden/>
              </w:rPr>
              <w:t>47</w:t>
            </w:r>
            <w:r w:rsidR="00C8365E">
              <w:rPr>
                <w:webHidden/>
              </w:rPr>
              <w:fldChar w:fldCharType="end"/>
            </w:r>
          </w:hyperlink>
        </w:p>
        <w:p w14:paraId="278790AA" w14:textId="59A1F3AB" w:rsidR="00C8365E" w:rsidRDefault="00245460">
          <w:pPr>
            <w:pStyle w:val="TOC3"/>
            <w:rPr>
              <w:rFonts w:eastAsiaTheme="minorEastAsia" w:cstheme="minorBidi"/>
              <w:sz w:val="22"/>
              <w:szCs w:val="22"/>
              <w:lang w:eastAsia="en-AU"/>
            </w:rPr>
          </w:pPr>
          <w:hyperlink w:anchor="_Toc66967221" w:history="1">
            <w:r w:rsidR="00C8365E" w:rsidRPr="00C959ED">
              <w:rPr>
                <w:rStyle w:val="Hyperlink"/>
              </w:rPr>
              <w:t>Characterisation of uncertainty required for risk assessment in this context</w:t>
            </w:r>
            <w:r w:rsidR="00C8365E">
              <w:rPr>
                <w:webHidden/>
              </w:rPr>
              <w:tab/>
            </w:r>
            <w:r w:rsidR="00C8365E">
              <w:rPr>
                <w:webHidden/>
              </w:rPr>
              <w:fldChar w:fldCharType="begin"/>
            </w:r>
            <w:r w:rsidR="00C8365E">
              <w:rPr>
                <w:webHidden/>
              </w:rPr>
              <w:instrText xml:space="preserve"> PAGEREF _Toc66967221 \h </w:instrText>
            </w:r>
            <w:r w:rsidR="00C8365E">
              <w:rPr>
                <w:webHidden/>
              </w:rPr>
            </w:r>
            <w:r w:rsidR="00C8365E">
              <w:rPr>
                <w:webHidden/>
              </w:rPr>
              <w:fldChar w:fldCharType="separate"/>
            </w:r>
            <w:r w:rsidR="00047351">
              <w:rPr>
                <w:webHidden/>
              </w:rPr>
              <w:t>47</w:t>
            </w:r>
            <w:r w:rsidR="00C8365E">
              <w:rPr>
                <w:webHidden/>
              </w:rPr>
              <w:fldChar w:fldCharType="end"/>
            </w:r>
          </w:hyperlink>
        </w:p>
        <w:p w14:paraId="16C5A39A" w14:textId="7050B9C1" w:rsidR="00C8365E" w:rsidRDefault="00245460">
          <w:pPr>
            <w:pStyle w:val="TOC3"/>
            <w:rPr>
              <w:rFonts w:eastAsiaTheme="minorEastAsia" w:cstheme="minorBidi"/>
              <w:sz w:val="22"/>
              <w:szCs w:val="22"/>
              <w:lang w:eastAsia="en-AU"/>
            </w:rPr>
          </w:pPr>
          <w:hyperlink w:anchor="_Toc66967222" w:history="1">
            <w:r w:rsidR="00C8365E" w:rsidRPr="00C959ED">
              <w:rPr>
                <w:rStyle w:val="Hyperlink"/>
              </w:rPr>
              <w:t>Fault-related risk assessment – potential repercussions of the fault</w:t>
            </w:r>
            <w:r w:rsidR="00C8365E">
              <w:rPr>
                <w:webHidden/>
              </w:rPr>
              <w:tab/>
            </w:r>
            <w:r w:rsidR="00C8365E">
              <w:rPr>
                <w:webHidden/>
              </w:rPr>
              <w:fldChar w:fldCharType="begin"/>
            </w:r>
            <w:r w:rsidR="00C8365E">
              <w:rPr>
                <w:webHidden/>
              </w:rPr>
              <w:instrText xml:space="preserve"> PAGEREF _Toc66967222 \h </w:instrText>
            </w:r>
            <w:r w:rsidR="00C8365E">
              <w:rPr>
                <w:webHidden/>
              </w:rPr>
            </w:r>
            <w:r w:rsidR="00C8365E">
              <w:rPr>
                <w:webHidden/>
              </w:rPr>
              <w:fldChar w:fldCharType="separate"/>
            </w:r>
            <w:r w:rsidR="00047351">
              <w:rPr>
                <w:webHidden/>
              </w:rPr>
              <w:t>47</w:t>
            </w:r>
            <w:r w:rsidR="00C8365E">
              <w:rPr>
                <w:webHidden/>
              </w:rPr>
              <w:fldChar w:fldCharType="end"/>
            </w:r>
          </w:hyperlink>
        </w:p>
        <w:p w14:paraId="3721F641" w14:textId="7FC54404" w:rsidR="00C8365E" w:rsidRDefault="00245460">
          <w:pPr>
            <w:pStyle w:val="TOC1"/>
            <w:rPr>
              <w:rFonts w:eastAsiaTheme="minorEastAsia" w:cstheme="minorBidi"/>
              <w:b w:val="0"/>
              <w:bCs w:val="0"/>
              <w:iCs w:val="0"/>
              <w:lang w:eastAsia="en-AU"/>
            </w:rPr>
          </w:pPr>
          <w:hyperlink w:anchor="_Toc66967223" w:history="1">
            <w:r w:rsidR="00C8365E" w:rsidRPr="00C959ED">
              <w:rPr>
                <w:rStyle w:val="Hyperlink"/>
              </w:rPr>
              <w:t>Example Scenario A-2 A regional aquitard that is not compromised by faults, isolates the groundwater asset from the coal seam or excavation</w:t>
            </w:r>
            <w:r w:rsidR="00C8365E">
              <w:rPr>
                <w:webHidden/>
              </w:rPr>
              <w:tab/>
            </w:r>
            <w:r w:rsidR="00C8365E">
              <w:rPr>
                <w:webHidden/>
              </w:rPr>
              <w:fldChar w:fldCharType="begin"/>
            </w:r>
            <w:r w:rsidR="00C8365E">
              <w:rPr>
                <w:webHidden/>
              </w:rPr>
              <w:instrText xml:space="preserve"> PAGEREF _Toc66967223 \h </w:instrText>
            </w:r>
            <w:r w:rsidR="00C8365E">
              <w:rPr>
                <w:webHidden/>
              </w:rPr>
            </w:r>
            <w:r w:rsidR="00C8365E">
              <w:rPr>
                <w:webHidden/>
              </w:rPr>
              <w:fldChar w:fldCharType="separate"/>
            </w:r>
            <w:r w:rsidR="00047351">
              <w:rPr>
                <w:webHidden/>
              </w:rPr>
              <w:t>48</w:t>
            </w:r>
            <w:r w:rsidR="00C8365E">
              <w:rPr>
                <w:webHidden/>
              </w:rPr>
              <w:fldChar w:fldCharType="end"/>
            </w:r>
          </w:hyperlink>
        </w:p>
        <w:p w14:paraId="2CF0F501" w14:textId="24DA5818" w:rsidR="00C8365E" w:rsidRDefault="00245460">
          <w:pPr>
            <w:pStyle w:val="TOC3"/>
            <w:rPr>
              <w:rFonts w:eastAsiaTheme="minorEastAsia" w:cstheme="minorBidi"/>
              <w:sz w:val="22"/>
              <w:szCs w:val="22"/>
              <w:lang w:eastAsia="en-AU"/>
            </w:rPr>
          </w:pPr>
          <w:hyperlink w:anchor="_Toc66967224" w:history="1">
            <w:r w:rsidR="00C8365E" w:rsidRPr="00C959ED">
              <w:rPr>
                <w:rStyle w:val="Hyperlink"/>
              </w:rPr>
              <w:t>Initial risk profile given geology and groundwater conditions</w:t>
            </w:r>
            <w:r w:rsidR="00C8365E">
              <w:rPr>
                <w:webHidden/>
              </w:rPr>
              <w:tab/>
            </w:r>
            <w:r w:rsidR="00C8365E">
              <w:rPr>
                <w:webHidden/>
              </w:rPr>
              <w:fldChar w:fldCharType="begin"/>
            </w:r>
            <w:r w:rsidR="00C8365E">
              <w:rPr>
                <w:webHidden/>
              </w:rPr>
              <w:instrText xml:space="preserve"> PAGEREF _Toc66967224 \h </w:instrText>
            </w:r>
            <w:r w:rsidR="00C8365E">
              <w:rPr>
                <w:webHidden/>
              </w:rPr>
            </w:r>
            <w:r w:rsidR="00C8365E">
              <w:rPr>
                <w:webHidden/>
              </w:rPr>
              <w:fldChar w:fldCharType="separate"/>
            </w:r>
            <w:r w:rsidR="00047351">
              <w:rPr>
                <w:webHidden/>
              </w:rPr>
              <w:t>48</w:t>
            </w:r>
            <w:r w:rsidR="00C8365E">
              <w:rPr>
                <w:webHidden/>
              </w:rPr>
              <w:fldChar w:fldCharType="end"/>
            </w:r>
          </w:hyperlink>
        </w:p>
        <w:p w14:paraId="32F3F597" w14:textId="27780F46" w:rsidR="00C8365E" w:rsidRDefault="00245460">
          <w:pPr>
            <w:pStyle w:val="TOC3"/>
            <w:rPr>
              <w:rFonts w:eastAsiaTheme="minorEastAsia" w:cstheme="minorBidi"/>
              <w:sz w:val="22"/>
              <w:szCs w:val="22"/>
              <w:lang w:eastAsia="en-AU"/>
            </w:rPr>
          </w:pPr>
          <w:hyperlink w:anchor="_Toc66967225" w:history="1">
            <w:r w:rsidR="00C8365E" w:rsidRPr="00C959ED">
              <w:rPr>
                <w:rStyle w:val="Hyperlink"/>
              </w:rPr>
              <w:t>Site based evidence</w:t>
            </w:r>
            <w:r w:rsidR="00C8365E">
              <w:rPr>
                <w:webHidden/>
              </w:rPr>
              <w:tab/>
            </w:r>
            <w:r w:rsidR="00C8365E">
              <w:rPr>
                <w:webHidden/>
              </w:rPr>
              <w:fldChar w:fldCharType="begin"/>
            </w:r>
            <w:r w:rsidR="00C8365E">
              <w:rPr>
                <w:webHidden/>
              </w:rPr>
              <w:instrText xml:space="preserve"> PAGEREF _Toc66967225 \h </w:instrText>
            </w:r>
            <w:r w:rsidR="00C8365E">
              <w:rPr>
                <w:webHidden/>
              </w:rPr>
            </w:r>
            <w:r w:rsidR="00C8365E">
              <w:rPr>
                <w:webHidden/>
              </w:rPr>
              <w:fldChar w:fldCharType="separate"/>
            </w:r>
            <w:r w:rsidR="00047351">
              <w:rPr>
                <w:webHidden/>
              </w:rPr>
              <w:t>48</w:t>
            </w:r>
            <w:r w:rsidR="00C8365E">
              <w:rPr>
                <w:webHidden/>
              </w:rPr>
              <w:fldChar w:fldCharType="end"/>
            </w:r>
          </w:hyperlink>
        </w:p>
        <w:p w14:paraId="54216D9B" w14:textId="3A4B70D1" w:rsidR="00C8365E" w:rsidRDefault="00245460">
          <w:pPr>
            <w:pStyle w:val="TOC3"/>
            <w:rPr>
              <w:rFonts w:eastAsiaTheme="minorEastAsia" w:cstheme="minorBidi"/>
              <w:sz w:val="22"/>
              <w:szCs w:val="22"/>
              <w:lang w:eastAsia="en-AU"/>
            </w:rPr>
          </w:pPr>
          <w:hyperlink w:anchor="_Toc66967226" w:history="1">
            <w:r w:rsidR="00C8365E" w:rsidRPr="00C959ED">
              <w:rPr>
                <w:rStyle w:val="Hyperlink"/>
              </w:rPr>
              <w:t>Characterisation of uncertainty required for risk assessment in this context</w:t>
            </w:r>
            <w:r w:rsidR="00C8365E">
              <w:rPr>
                <w:webHidden/>
              </w:rPr>
              <w:tab/>
            </w:r>
            <w:r w:rsidR="00C8365E">
              <w:rPr>
                <w:webHidden/>
              </w:rPr>
              <w:fldChar w:fldCharType="begin"/>
            </w:r>
            <w:r w:rsidR="00C8365E">
              <w:rPr>
                <w:webHidden/>
              </w:rPr>
              <w:instrText xml:space="preserve"> PAGEREF _Toc66967226 \h </w:instrText>
            </w:r>
            <w:r w:rsidR="00C8365E">
              <w:rPr>
                <w:webHidden/>
              </w:rPr>
            </w:r>
            <w:r w:rsidR="00C8365E">
              <w:rPr>
                <w:webHidden/>
              </w:rPr>
              <w:fldChar w:fldCharType="separate"/>
            </w:r>
            <w:r w:rsidR="00047351">
              <w:rPr>
                <w:webHidden/>
              </w:rPr>
              <w:t>48</w:t>
            </w:r>
            <w:r w:rsidR="00C8365E">
              <w:rPr>
                <w:webHidden/>
              </w:rPr>
              <w:fldChar w:fldCharType="end"/>
            </w:r>
          </w:hyperlink>
        </w:p>
        <w:p w14:paraId="2176C5A7" w14:textId="0FB95D6C" w:rsidR="00C8365E" w:rsidRDefault="00245460">
          <w:pPr>
            <w:pStyle w:val="TOC3"/>
            <w:rPr>
              <w:rFonts w:eastAsiaTheme="minorEastAsia" w:cstheme="minorBidi"/>
              <w:sz w:val="22"/>
              <w:szCs w:val="22"/>
              <w:lang w:eastAsia="en-AU"/>
            </w:rPr>
          </w:pPr>
          <w:hyperlink w:anchor="_Toc66967227" w:history="1">
            <w:r w:rsidR="00C8365E" w:rsidRPr="00C959ED">
              <w:rPr>
                <w:rStyle w:val="Hyperlink"/>
              </w:rPr>
              <w:t>Fault-related risk assessment – potential repercussions of the fault</w:t>
            </w:r>
            <w:r w:rsidR="00C8365E">
              <w:rPr>
                <w:webHidden/>
              </w:rPr>
              <w:tab/>
            </w:r>
            <w:r w:rsidR="00C8365E">
              <w:rPr>
                <w:webHidden/>
              </w:rPr>
              <w:fldChar w:fldCharType="begin"/>
            </w:r>
            <w:r w:rsidR="00C8365E">
              <w:rPr>
                <w:webHidden/>
              </w:rPr>
              <w:instrText xml:space="preserve"> PAGEREF _Toc66967227 \h </w:instrText>
            </w:r>
            <w:r w:rsidR="00C8365E">
              <w:rPr>
                <w:webHidden/>
              </w:rPr>
            </w:r>
            <w:r w:rsidR="00C8365E">
              <w:rPr>
                <w:webHidden/>
              </w:rPr>
              <w:fldChar w:fldCharType="separate"/>
            </w:r>
            <w:r w:rsidR="00047351">
              <w:rPr>
                <w:webHidden/>
              </w:rPr>
              <w:t>49</w:t>
            </w:r>
            <w:r w:rsidR="00C8365E">
              <w:rPr>
                <w:webHidden/>
              </w:rPr>
              <w:fldChar w:fldCharType="end"/>
            </w:r>
          </w:hyperlink>
        </w:p>
        <w:p w14:paraId="6489522F" w14:textId="531A7A27" w:rsidR="00C8365E" w:rsidRDefault="00245460">
          <w:pPr>
            <w:pStyle w:val="TOC3"/>
            <w:rPr>
              <w:rFonts w:eastAsiaTheme="minorEastAsia" w:cstheme="minorBidi"/>
              <w:sz w:val="22"/>
              <w:szCs w:val="22"/>
              <w:lang w:eastAsia="en-AU"/>
            </w:rPr>
          </w:pPr>
          <w:hyperlink w:anchor="_Toc66967228" w:history="1">
            <w:r w:rsidR="00C8365E" w:rsidRPr="00C959ED">
              <w:rPr>
                <w:rStyle w:val="Hyperlink"/>
              </w:rPr>
              <w:t>Example case study</w:t>
            </w:r>
            <w:r w:rsidR="00C8365E">
              <w:rPr>
                <w:webHidden/>
              </w:rPr>
              <w:tab/>
            </w:r>
            <w:r w:rsidR="00C8365E">
              <w:rPr>
                <w:webHidden/>
              </w:rPr>
              <w:fldChar w:fldCharType="begin"/>
            </w:r>
            <w:r w:rsidR="00C8365E">
              <w:rPr>
                <w:webHidden/>
              </w:rPr>
              <w:instrText xml:space="preserve"> PAGEREF _Toc66967228 \h </w:instrText>
            </w:r>
            <w:r w:rsidR="00C8365E">
              <w:rPr>
                <w:webHidden/>
              </w:rPr>
            </w:r>
            <w:r w:rsidR="00C8365E">
              <w:rPr>
                <w:webHidden/>
              </w:rPr>
              <w:fldChar w:fldCharType="separate"/>
            </w:r>
            <w:r w:rsidR="00047351">
              <w:rPr>
                <w:webHidden/>
              </w:rPr>
              <w:t>50</w:t>
            </w:r>
            <w:r w:rsidR="00C8365E">
              <w:rPr>
                <w:webHidden/>
              </w:rPr>
              <w:fldChar w:fldCharType="end"/>
            </w:r>
          </w:hyperlink>
        </w:p>
        <w:p w14:paraId="0322CFF6" w14:textId="07DDA0E3" w:rsidR="00C8365E" w:rsidRDefault="00245460">
          <w:pPr>
            <w:pStyle w:val="TOC1"/>
            <w:rPr>
              <w:rFonts w:eastAsiaTheme="minorEastAsia" w:cstheme="minorBidi"/>
              <w:b w:val="0"/>
              <w:bCs w:val="0"/>
              <w:iCs w:val="0"/>
              <w:lang w:eastAsia="en-AU"/>
            </w:rPr>
          </w:pPr>
          <w:hyperlink w:anchor="_Toc66967229" w:history="1">
            <w:r w:rsidR="00C8365E" w:rsidRPr="00C959ED">
              <w:rPr>
                <w:rStyle w:val="Hyperlink"/>
              </w:rPr>
              <w:t>Example Scenario B Cases where faults are potentially important within aquifers</w:t>
            </w:r>
            <w:r w:rsidR="00C8365E">
              <w:rPr>
                <w:webHidden/>
              </w:rPr>
              <w:tab/>
            </w:r>
            <w:r w:rsidR="00C8365E">
              <w:rPr>
                <w:webHidden/>
              </w:rPr>
              <w:fldChar w:fldCharType="begin"/>
            </w:r>
            <w:r w:rsidR="00C8365E">
              <w:rPr>
                <w:webHidden/>
              </w:rPr>
              <w:instrText xml:space="preserve"> PAGEREF _Toc66967229 \h </w:instrText>
            </w:r>
            <w:r w:rsidR="00C8365E">
              <w:rPr>
                <w:webHidden/>
              </w:rPr>
            </w:r>
            <w:r w:rsidR="00C8365E">
              <w:rPr>
                <w:webHidden/>
              </w:rPr>
              <w:fldChar w:fldCharType="separate"/>
            </w:r>
            <w:r w:rsidR="00047351">
              <w:rPr>
                <w:webHidden/>
              </w:rPr>
              <w:t>53</w:t>
            </w:r>
            <w:r w:rsidR="00C8365E">
              <w:rPr>
                <w:webHidden/>
              </w:rPr>
              <w:fldChar w:fldCharType="end"/>
            </w:r>
          </w:hyperlink>
        </w:p>
        <w:p w14:paraId="6990BFA5" w14:textId="1692C8EF" w:rsidR="00C8365E" w:rsidRDefault="00245460">
          <w:pPr>
            <w:pStyle w:val="TOC3"/>
            <w:rPr>
              <w:rFonts w:eastAsiaTheme="minorEastAsia" w:cstheme="minorBidi"/>
              <w:sz w:val="22"/>
              <w:szCs w:val="22"/>
              <w:lang w:eastAsia="en-AU"/>
            </w:rPr>
          </w:pPr>
          <w:hyperlink w:anchor="_Toc66967230" w:history="1">
            <w:r w:rsidR="00C8365E" w:rsidRPr="00C959ED">
              <w:rPr>
                <w:rStyle w:val="Hyperlink"/>
              </w:rPr>
              <w:t>Initial risk profile given geology and groundwater conditions</w:t>
            </w:r>
            <w:r w:rsidR="00C8365E">
              <w:rPr>
                <w:webHidden/>
              </w:rPr>
              <w:tab/>
            </w:r>
            <w:r w:rsidR="00C8365E">
              <w:rPr>
                <w:webHidden/>
              </w:rPr>
              <w:fldChar w:fldCharType="begin"/>
            </w:r>
            <w:r w:rsidR="00C8365E">
              <w:rPr>
                <w:webHidden/>
              </w:rPr>
              <w:instrText xml:space="preserve"> PAGEREF _Toc66967230 \h </w:instrText>
            </w:r>
            <w:r w:rsidR="00C8365E">
              <w:rPr>
                <w:webHidden/>
              </w:rPr>
            </w:r>
            <w:r w:rsidR="00C8365E">
              <w:rPr>
                <w:webHidden/>
              </w:rPr>
              <w:fldChar w:fldCharType="separate"/>
            </w:r>
            <w:r w:rsidR="00047351">
              <w:rPr>
                <w:webHidden/>
              </w:rPr>
              <w:t>53</w:t>
            </w:r>
            <w:r w:rsidR="00C8365E">
              <w:rPr>
                <w:webHidden/>
              </w:rPr>
              <w:fldChar w:fldCharType="end"/>
            </w:r>
          </w:hyperlink>
        </w:p>
        <w:p w14:paraId="71150E62" w14:textId="7DB8DD55" w:rsidR="00C8365E" w:rsidRDefault="00245460">
          <w:pPr>
            <w:pStyle w:val="TOC3"/>
            <w:rPr>
              <w:rFonts w:eastAsiaTheme="minorEastAsia" w:cstheme="minorBidi"/>
              <w:sz w:val="22"/>
              <w:szCs w:val="22"/>
              <w:lang w:eastAsia="en-AU"/>
            </w:rPr>
          </w:pPr>
          <w:hyperlink w:anchor="_Toc66967231" w:history="1">
            <w:r w:rsidR="00C8365E" w:rsidRPr="00C959ED">
              <w:rPr>
                <w:rStyle w:val="Hyperlink"/>
              </w:rPr>
              <w:t>Site based evidence</w:t>
            </w:r>
            <w:r w:rsidR="00C8365E">
              <w:rPr>
                <w:webHidden/>
              </w:rPr>
              <w:tab/>
            </w:r>
            <w:r w:rsidR="00C8365E">
              <w:rPr>
                <w:webHidden/>
              </w:rPr>
              <w:fldChar w:fldCharType="begin"/>
            </w:r>
            <w:r w:rsidR="00C8365E">
              <w:rPr>
                <w:webHidden/>
              </w:rPr>
              <w:instrText xml:space="preserve"> PAGEREF _Toc66967231 \h </w:instrText>
            </w:r>
            <w:r w:rsidR="00C8365E">
              <w:rPr>
                <w:webHidden/>
              </w:rPr>
            </w:r>
            <w:r w:rsidR="00C8365E">
              <w:rPr>
                <w:webHidden/>
              </w:rPr>
              <w:fldChar w:fldCharType="separate"/>
            </w:r>
            <w:r w:rsidR="00047351">
              <w:rPr>
                <w:webHidden/>
              </w:rPr>
              <w:t>53</w:t>
            </w:r>
            <w:r w:rsidR="00C8365E">
              <w:rPr>
                <w:webHidden/>
              </w:rPr>
              <w:fldChar w:fldCharType="end"/>
            </w:r>
          </w:hyperlink>
        </w:p>
        <w:p w14:paraId="4FD5B698" w14:textId="58227842" w:rsidR="00C8365E" w:rsidRDefault="00245460">
          <w:pPr>
            <w:pStyle w:val="TOC3"/>
            <w:rPr>
              <w:rFonts w:eastAsiaTheme="minorEastAsia" w:cstheme="minorBidi"/>
              <w:sz w:val="22"/>
              <w:szCs w:val="22"/>
              <w:lang w:eastAsia="en-AU"/>
            </w:rPr>
          </w:pPr>
          <w:hyperlink w:anchor="_Toc66967232" w:history="1">
            <w:r w:rsidR="00C8365E" w:rsidRPr="00C959ED">
              <w:rPr>
                <w:rStyle w:val="Hyperlink"/>
              </w:rPr>
              <w:t>Characterisation of uncertainty required for risk assessment in this context</w:t>
            </w:r>
            <w:r w:rsidR="00C8365E">
              <w:rPr>
                <w:webHidden/>
              </w:rPr>
              <w:tab/>
            </w:r>
            <w:r w:rsidR="00C8365E">
              <w:rPr>
                <w:webHidden/>
              </w:rPr>
              <w:fldChar w:fldCharType="begin"/>
            </w:r>
            <w:r w:rsidR="00C8365E">
              <w:rPr>
                <w:webHidden/>
              </w:rPr>
              <w:instrText xml:space="preserve"> PAGEREF _Toc66967232 \h </w:instrText>
            </w:r>
            <w:r w:rsidR="00C8365E">
              <w:rPr>
                <w:webHidden/>
              </w:rPr>
            </w:r>
            <w:r w:rsidR="00C8365E">
              <w:rPr>
                <w:webHidden/>
              </w:rPr>
              <w:fldChar w:fldCharType="separate"/>
            </w:r>
            <w:r w:rsidR="00047351">
              <w:rPr>
                <w:webHidden/>
              </w:rPr>
              <w:t>53</w:t>
            </w:r>
            <w:r w:rsidR="00C8365E">
              <w:rPr>
                <w:webHidden/>
              </w:rPr>
              <w:fldChar w:fldCharType="end"/>
            </w:r>
          </w:hyperlink>
        </w:p>
        <w:p w14:paraId="54CABBC3" w14:textId="7F4D6E4B" w:rsidR="00C8365E" w:rsidRDefault="00245460">
          <w:pPr>
            <w:pStyle w:val="TOC3"/>
            <w:rPr>
              <w:rFonts w:eastAsiaTheme="minorEastAsia" w:cstheme="minorBidi"/>
              <w:sz w:val="22"/>
              <w:szCs w:val="22"/>
              <w:lang w:eastAsia="en-AU"/>
            </w:rPr>
          </w:pPr>
          <w:hyperlink w:anchor="_Toc66967233" w:history="1">
            <w:r w:rsidR="00C8365E" w:rsidRPr="00C959ED">
              <w:rPr>
                <w:rStyle w:val="Hyperlink"/>
              </w:rPr>
              <w:t>Fault-related risk assessment – potential repercussions of the fault</w:t>
            </w:r>
            <w:r w:rsidR="00C8365E">
              <w:rPr>
                <w:webHidden/>
              </w:rPr>
              <w:tab/>
            </w:r>
            <w:r w:rsidR="00C8365E">
              <w:rPr>
                <w:webHidden/>
              </w:rPr>
              <w:fldChar w:fldCharType="begin"/>
            </w:r>
            <w:r w:rsidR="00C8365E">
              <w:rPr>
                <w:webHidden/>
              </w:rPr>
              <w:instrText xml:space="preserve"> PAGEREF _Toc66967233 \h </w:instrText>
            </w:r>
            <w:r w:rsidR="00C8365E">
              <w:rPr>
                <w:webHidden/>
              </w:rPr>
            </w:r>
            <w:r w:rsidR="00C8365E">
              <w:rPr>
                <w:webHidden/>
              </w:rPr>
              <w:fldChar w:fldCharType="separate"/>
            </w:r>
            <w:r w:rsidR="00047351">
              <w:rPr>
                <w:webHidden/>
              </w:rPr>
              <w:t>54</w:t>
            </w:r>
            <w:r w:rsidR="00C8365E">
              <w:rPr>
                <w:webHidden/>
              </w:rPr>
              <w:fldChar w:fldCharType="end"/>
            </w:r>
          </w:hyperlink>
        </w:p>
        <w:p w14:paraId="0091F9D1" w14:textId="3C3DB1A0" w:rsidR="00C8365E" w:rsidRDefault="00245460">
          <w:pPr>
            <w:pStyle w:val="TOC3"/>
            <w:rPr>
              <w:rFonts w:eastAsiaTheme="minorEastAsia" w:cstheme="minorBidi"/>
              <w:sz w:val="22"/>
              <w:szCs w:val="22"/>
              <w:lang w:eastAsia="en-AU"/>
            </w:rPr>
          </w:pPr>
          <w:hyperlink w:anchor="_Toc66967234" w:history="1">
            <w:r w:rsidR="00C8365E" w:rsidRPr="00C959ED">
              <w:rPr>
                <w:rStyle w:val="Hyperlink"/>
              </w:rPr>
              <w:t>Example case study</w:t>
            </w:r>
            <w:r w:rsidR="00C8365E">
              <w:rPr>
                <w:webHidden/>
              </w:rPr>
              <w:tab/>
            </w:r>
            <w:r w:rsidR="00C8365E">
              <w:rPr>
                <w:webHidden/>
              </w:rPr>
              <w:fldChar w:fldCharType="begin"/>
            </w:r>
            <w:r w:rsidR="00C8365E">
              <w:rPr>
                <w:webHidden/>
              </w:rPr>
              <w:instrText xml:space="preserve"> PAGEREF _Toc66967234 \h </w:instrText>
            </w:r>
            <w:r w:rsidR="00C8365E">
              <w:rPr>
                <w:webHidden/>
              </w:rPr>
            </w:r>
            <w:r w:rsidR="00C8365E">
              <w:rPr>
                <w:webHidden/>
              </w:rPr>
              <w:fldChar w:fldCharType="separate"/>
            </w:r>
            <w:r w:rsidR="00047351">
              <w:rPr>
                <w:webHidden/>
              </w:rPr>
              <w:t>54</w:t>
            </w:r>
            <w:r w:rsidR="00C8365E">
              <w:rPr>
                <w:webHidden/>
              </w:rPr>
              <w:fldChar w:fldCharType="end"/>
            </w:r>
          </w:hyperlink>
        </w:p>
        <w:p w14:paraId="7B296F75" w14:textId="55521D4A" w:rsidR="00C8365E" w:rsidRDefault="00245460">
          <w:pPr>
            <w:pStyle w:val="TOC1"/>
            <w:rPr>
              <w:rFonts w:eastAsiaTheme="minorEastAsia" w:cstheme="minorBidi"/>
              <w:b w:val="0"/>
              <w:bCs w:val="0"/>
              <w:iCs w:val="0"/>
              <w:lang w:eastAsia="en-AU"/>
            </w:rPr>
          </w:pPr>
          <w:hyperlink w:anchor="_Toc66967235" w:history="1">
            <w:r w:rsidR="00C8365E" w:rsidRPr="00C959ED">
              <w:rPr>
                <w:rStyle w:val="Hyperlink"/>
              </w:rPr>
              <w:t>Example Scenario C Cases where faults are potentially important within aquifer-aquitard systems</w:t>
            </w:r>
            <w:r w:rsidR="00C8365E">
              <w:rPr>
                <w:webHidden/>
              </w:rPr>
              <w:tab/>
            </w:r>
            <w:r w:rsidR="00C8365E">
              <w:rPr>
                <w:webHidden/>
              </w:rPr>
              <w:fldChar w:fldCharType="begin"/>
            </w:r>
            <w:r w:rsidR="00C8365E">
              <w:rPr>
                <w:webHidden/>
              </w:rPr>
              <w:instrText xml:space="preserve"> PAGEREF _Toc66967235 \h </w:instrText>
            </w:r>
            <w:r w:rsidR="00C8365E">
              <w:rPr>
                <w:webHidden/>
              </w:rPr>
            </w:r>
            <w:r w:rsidR="00C8365E">
              <w:rPr>
                <w:webHidden/>
              </w:rPr>
              <w:fldChar w:fldCharType="separate"/>
            </w:r>
            <w:r w:rsidR="00047351">
              <w:rPr>
                <w:webHidden/>
              </w:rPr>
              <w:t>58</w:t>
            </w:r>
            <w:r w:rsidR="00C8365E">
              <w:rPr>
                <w:webHidden/>
              </w:rPr>
              <w:fldChar w:fldCharType="end"/>
            </w:r>
          </w:hyperlink>
        </w:p>
        <w:p w14:paraId="7FA5E5F8" w14:textId="4378BC0E" w:rsidR="00C8365E" w:rsidRDefault="00245460">
          <w:pPr>
            <w:pStyle w:val="TOC2"/>
            <w:rPr>
              <w:rFonts w:eastAsiaTheme="minorEastAsia" w:cstheme="minorBidi"/>
              <w:b w:val="0"/>
              <w:bCs w:val="0"/>
              <w:lang w:eastAsia="en-AU"/>
            </w:rPr>
          </w:pPr>
          <w:hyperlink w:anchor="_Toc66967236" w:history="1">
            <w:r w:rsidR="00C8365E" w:rsidRPr="00C959ED">
              <w:rPr>
                <w:rStyle w:val="Hyperlink"/>
              </w:rPr>
              <w:t>Initial risk profile given geology and groundwater conditions</w:t>
            </w:r>
            <w:r w:rsidR="00C8365E">
              <w:rPr>
                <w:webHidden/>
              </w:rPr>
              <w:tab/>
            </w:r>
            <w:r w:rsidR="00C8365E">
              <w:rPr>
                <w:webHidden/>
              </w:rPr>
              <w:fldChar w:fldCharType="begin"/>
            </w:r>
            <w:r w:rsidR="00C8365E">
              <w:rPr>
                <w:webHidden/>
              </w:rPr>
              <w:instrText xml:space="preserve"> PAGEREF _Toc66967236 \h </w:instrText>
            </w:r>
            <w:r w:rsidR="00C8365E">
              <w:rPr>
                <w:webHidden/>
              </w:rPr>
            </w:r>
            <w:r w:rsidR="00C8365E">
              <w:rPr>
                <w:webHidden/>
              </w:rPr>
              <w:fldChar w:fldCharType="separate"/>
            </w:r>
            <w:r w:rsidR="00047351">
              <w:rPr>
                <w:webHidden/>
              </w:rPr>
              <w:t>58</w:t>
            </w:r>
            <w:r w:rsidR="00C8365E">
              <w:rPr>
                <w:webHidden/>
              </w:rPr>
              <w:fldChar w:fldCharType="end"/>
            </w:r>
          </w:hyperlink>
        </w:p>
        <w:p w14:paraId="1A745A40" w14:textId="0977EC62" w:rsidR="00C8365E" w:rsidRDefault="00245460">
          <w:pPr>
            <w:pStyle w:val="TOC3"/>
            <w:rPr>
              <w:rFonts w:eastAsiaTheme="minorEastAsia" w:cstheme="minorBidi"/>
              <w:sz w:val="22"/>
              <w:szCs w:val="22"/>
              <w:lang w:eastAsia="en-AU"/>
            </w:rPr>
          </w:pPr>
          <w:hyperlink w:anchor="_Toc66967237" w:history="1">
            <w:r w:rsidR="00C8365E" w:rsidRPr="00C959ED">
              <w:rPr>
                <w:rStyle w:val="Hyperlink"/>
              </w:rPr>
              <w:t>Site based evidence</w:t>
            </w:r>
            <w:r w:rsidR="00C8365E">
              <w:rPr>
                <w:webHidden/>
              </w:rPr>
              <w:tab/>
            </w:r>
            <w:r w:rsidR="00C8365E">
              <w:rPr>
                <w:webHidden/>
              </w:rPr>
              <w:fldChar w:fldCharType="begin"/>
            </w:r>
            <w:r w:rsidR="00C8365E">
              <w:rPr>
                <w:webHidden/>
              </w:rPr>
              <w:instrText xml:space="preserve"> PAGEREF _Toc66967237 \h </w:instrText>
            </w:r>
            <w:r w:rsidR="00C8365E">
              <w:rPr>
                <w:webHidden/>
              </w:rPr>
            </w:r>
            <w:r w:rsidR="00C8365E">
              <w:rPr>
                <w:webHidden/>
              </w:rPr>
              <w:fldChar w:fldCharType="separate"/>
            </w:r>
            <w:r w:rsidR="00047351">
              <w:rPr>
                <w:webHidden/>
              </w:rPr>
              <w:t>58</w:t>
            </w:r>
            <w:r w:rsidR="00C8365E">
              <w:rPr>
                <w:webHidden/>
              </w:rPr>
              <w:fldChar w:fldCharType="end"/>
            </w:r>
          </w:hyperlink>
        </w:p>
        <w:p w14:paraId="7CB7062A" w14:textId="1246E65D" w:rsidR="00C8365E" w:rsidRDefault="00245460">
          <w:pPr>
            <w:pStyle w:val="TOC2"/>
            <w:rPr>
              <w:rFonts w:eastAsiaTheme="minorEastAsia" w:cstheme="minorBidi"/>
              <w:b w:val="0"/>
              <w:bCs w:val="0"/>
              <w:lang w:eastAsia="en-AU"/>
            </w:rPr>
          </w:pPr>
          <w:hyperlink w:anchor="_Toc66967238" w:history="1">
            <w:r w:rsidR="00C8365E" w:rsidRPr="00C959ED">
              <w:rPr>
                <w:rStyle w:val="Hyperlink"/>
              </w:rPr>
              <w:t>Characterisation of uncertainty required for risk assessment in this context</w:t>
            </w:r>
            <w:r w:rsidR="00C8365E">
              <w:rPr>
                <w:webHidden/>
              </w:rPr>
              <w:tab/>
            </w:r>
            <w:r w:rsidR="00C8365E">
              <w:rPr>
                <w:webHidden/>
              </w:rPr>
              <w:fldChar w:fldCharType="begin"/>
            </w:r>
            <w:r w:rsidR="00C8365E">
              <w:rPr>
                <w:webHidden/>
              </w:rPr>
              <w:instrText xml:space="preserve"> PAGEREF _Toc66967238 \h </w:instrText>
            </w:r>
            <w:r w:rsidR="00C8365E">
              <w:rPr>
                <w:webHidden/>
              </w:rPr>
            </w:r>
            <w:r w:rsidR="00C8365E">
              <w:rPr>
                <w:webHidden/>
              </w:rPr>
              <w:fldChar w:fldCharType="separate"/>
            </w:r>
            <w:r w:rsidR="00047351">
              <w:rPr>
                <w:webHidden/>
              </w:rPr>
              <w:t>58</w:t>
            </w:r>
            <w:r w:rsidR="00C8365E">
              <w:rPr>
                <w:webHidden/>
              </w:rPr>
              <w:fldChar w:fldCharType="end"/>
            </w:r>
          </w:hyperlink>
        </w:p>
        <w:p w14:paraId="14746CF3" w14:textId="31C25C48" w:rsidR="00C8365E" w:rsidRDefault="00245460">
          <w:pPr>
            <w:pStyle w:val="TOC3"/>
            <w:rPr>
              <w:rFonts w:eastAsiaTheme="minorEastAsia" w:cstheme="minorBidi"/>
              <w:sz w:val="22"/>
              <w:szCs w:val="22"/>
              <w:lang w:eastAsia="en-AU"/>
            </w:rPr>
          </w:pPr>
          <w:hyperlink w:anchor="_Toc66967239" w:history="1">
            <w:r w:rsidR="00C8365E" w:rsidRPr="00C959ED">
              <w:rPr>
                <w:rStyle w:val="Hyperlink"/>
              </w:rPr>
              <w:t>Fault-related risk assessment – potential repercussions of the fault</w:t>
            </w:r>
            <w:r w:rsidR="00C8365E">
              <w:rPr>
                <w:webHidden/>
              </w:rPr>
              <w:tab/>
            </w:r>
            <w:r w:rsidR="00C8365E">
              <w:rPr>
                <w:webHidden/>
              </w:rPr>
              <w:fldChar w:fldCharType="begin"/>
            </w:r>
            <w:r w:rsidR="00C8365E">
              <w:rPr>
                <w:webHidden/>
              </w:rPr>
              <w:instrText xml:space="preserve"> PAGEREF _Toc66967239 \h </w:instrText>
            </w:r>
            <w:r w:rsidR="00C8365E">
              <w:rPr>
                <w:webHidden/>
              </w:rPr>
            </w:r>
            <w:r w:rsidR="00C8365E">
              <w:rPr>
                <w:webHidden/>
              </w:rPr>
              <w:fldChar w:fldCharType="separate"/>
            </w:r>
            <w:r w:rsidR="00047351">
              <w:rPr>
                <w:webHidden/>
              </w:rPr>
              <w:t>59</w:t>
            </w:r>
            <w:r w:rsidR="00C8365E">
              <w:rPr>
                <w:webHidden/>
              </w:rPr>
              <w:fldChar w:fldCharType="end"/>
            </w:r>
          </w:hyperlink>
        </w:p>
        <w:p w14:paraId="51846B23" w14:textId="2878DBB3" w:rsidR="00C8365E" w:rsidRDefault="00245460">
          <w:pPr>
            <w:pStyle w:val="TOC3"/>
            <w:rPr>
              <w:rFonts w:eastAsiaTheme="minorEastAsia" w:cstheme="minorBidi"/>
              <w:sz w:val="22"/>
              <w:szCs w:val="22"/>
              <w:lang w:eastAsia="en-AU"/>
            </w:rPr>
          </w:pPr>
          <w:hyperlink w:anchor="_Toc66967240" w:history="1">
            <w:r w:rsidR="00C8365E" w:rsidRPr="00C959ED">
              <w:rPr>
                <w:rStyle w:val="Hyperlink"/>
              </w:rPr>
              <w:t>Example case study</w:t>
            </w:r>
            <w:r w:rsidR="00C8365E">
              <w:rPr>
                <w:webHidden/>
              </w:rPr>
              <w:tab/>
            </w:r>
            <w:r w:rsidR="00C8365E">
              <w:rPr>
                <w:webHidden/>
              </w:rPr>
              <w:fldChar w:fldCharType="begin"/>
            </w:r>
            <w:r w:rsidR="00C8365E">
              <w:rPr>
                <w:webHidden/>
              </w:rPr>
              <w:instrText xml:space="preserve"> PAGEREF _Toc66967240 \h </w:instrText>
            </w:r>
            <w:r w:rsidR="00C8365E">
              <w:rPr>
                <w:webHidden/>
              </w:rPr>
            </w:r>
            <w:r w:rsidR="00C8365E">
              <w:rPr>
                <w:webHidden/>
              </w:rPr>
              <w:fldChar w:fldCharType="separate"/>
            </w:r>
            <w:r w:rsidR="00047351">
              <w:rPr>
                <w:webHidden/>
              </w:rPr>
              <w:t>59</w:t>
            </w:r>
            <w:r w:rsidR="00C8365E">
              <w:rPr>
                <w:webHidden/>
              </w:rPr>
              <w:fldChar w:fldCharType="end"/>
            </w:r>
          </w:hyperlink>
        </w:p>
        <w:p w14:paraId="600EF4C8" w14:textId="3DBBD2F9" w:rsidR="00C8365E" w:rsidRDefault="00245460">
          <w:pPr>
            <w:pStyle w:val="TOC1"/>
            <w:rPr>
              <w:rFonts w:eastAsiaTheme="minorEastAsia" w:cstheme="minorBidi"/>
              <w:b w:val="0"/>
              <w:bCs w:val="0"/>
              <w:iCs w:val="0"/>
              <w:lang w:eastAsia="en-AU"/>
            </w:rPr>
          </w:pPr>
          <w:hyperlink w:anchor="_Toc66967241" w:history="1">
            <w:r w:rsidR="00C8365E" w:rsidRPr="00C959ED">
              <w:rPr>
                <w:rStyle w:val="Hyperlink"/>
              </w:rPr>
              <w:t>Example Scenario D Differential subsidence or stresses reactivating faults</w:t>
            </w:r>
            <w:r w:rsidR="00C8365E">
              <w:rPr>
                <w:webHidden/>
              </w:rPr>
              <w:tab/>
            </w:r>
            <w:r w:rsidR="00C8365E">
              <w:rPr>
                <w:webHidden/>
              </w:rPr>
              <w:fldChar w:fldCharType="begin"/>
            </w:r>
            <w:r w:rsidR="00C8365E">
              <w:rPr>
                <w:webHidden/>
              </w:rPr>
              <w:instrText xml:space="preserve"> PAGEREF _Toc66967241 \h </w:instrText>
            </w:r>
            <w:r w:rsidR="00C8365E">
              <w:rPr>
                <w:webHidden/>
              </w:rPr>
            </w:r>
            <w:r w:rsidR="00C8365E">
              <w:rPr>
                <w:webHidden/>
              </w:rPr>
              <w:fldChar w:fldCharType="separate"/>
            </w:r>
            <w:r w:rsidR="00047351">
              <w:rPr>
                <w:webHidden/>
              </w:rPr>
              <w:t>62</w:t>
            </w:r>
            <w:r w:rsidR="00C8365E">
              <w:rPr>
                <w:webHidden/>
              </w:rPr>
              <w:fldChar w:fldCharType="end"/>
            </w:r>
          </w:hyperlink>
        </w:p>
        <w:p w14:paraId="3259986D" w14:textId="38D1790B" w:rsidR="00442520" w:rsidRPr="006F4023" w:rsidRDefault="00C77E18" w:rsidP="000F6D12">
          <w:pPr>
            <w:tabs>
              <w:tab w:val="left" w:pos="567"/>
            </w:tabs>
          </w:pPr>
          <w:r w:rsidRPr="006F4023">
            <w:rPr>
              <w:rFonts w:cstheme="minorHAnsi"/>
              <w:iCs/>
            </w:rPr>
            <w:fldChar w:fldCharType="end"/>
          </w:r>
        </w:p>
      </w:sdtContent>
    </w:sdt>
    <w:p w14:paraId="32395EF9" w14:textId="77777777" w:rsidR="009763CB" w:rsidRPr="006F4023" w:rsidRDefault="009763CB" w:rsidP="009763CB">
      <w:pPr>
        <w:pStyle w:val="BodyText"/>
        <w:rPr>
          <w:lang w:val="en-AU"/>
        </w:rPr>
      </w:pPr>
    </w:p>
    <w:p w14:paraId="5DFD33F9" w14:textId="77777777" w:rsidR="009763CB" w:rsidRPr="006F4023" w:rsidRDefault="009763CB" w:rsidP="009763CB"/>
    <w:p w14:paraId="55BFB62A" w14:textId="77777777" w:rsidR="00E800CD" w:rsidRPr="006F4023" w:rsidRDefault="00E800CD" w:rsidP="00AF1674">
      <w:pPr>
        <w:pStyle w:val="05BODYTEXT"/>
        <w:spacing w:after="0"/>
        <w:rPr>
          <w:sz w:val="16"/>
          <w:szCs w:val="16"/>
          <w:lang w:val="en-AU"/>
        </w:rPr>
        <w:sectPr w:rsidR="00E800CD" w:rsidRPr="006F4023" w:rsidSect="006A1510">
          <w:headerReference w:type="even" r:id="rId33"/>
          <w:headerReference w:type="default" r:id="rId34"/>
          <w:footerReference w:type="default" r:id="rId35"/>
          <w:headerReference w:type="first" r:id="rId36"/>
          <w:footerReference w:type="first" r:id="rId37"/>
          <w:pgSz w:w="11906" w:h="16838" w:code="9"/>
          <w:pgMar w:top="1701" w:right="1418" w:bottom="1418" w:left="1418" w:header="567" w:footer="567" w:gutter="0"/>
          <w:pgNumType w:start="1"/>
          <w:cols w:space="708"/>
          <w:titlePg/>
          <w:docGrid w:linePitch="360"/>
        </w:sectPr>
      </w:pPr>
    </w:p>
    <w:p w14:paraId="36BC59E0" w14:textId="77777777" w:rsidR="00FC261A" w:rsidRPr="006F4023" w:rsidRDefault="00FC261A" w:rsidP="00FC261A">
      <w:pPr>
        <w:pStyle w:val="Heading1"/>
      </w:pPr>
      <w:bookmarkStart w:id="2" w:name="_Toc10451430"/>
      <w:bookmarkStart w:id="3" w:name="_Toc19180622"/>
      <w:bookmarkStart w:id="4" w:name="_Toc42765074"/>
      <w:bookmarkStart w:id="5" w:name="_Toc66967162"/>
      <w:r w:rsidRPr="006F4023">
        <w:lastRenderedPageBreak/>
        <w:t>Overview</w:t>
      </w:r>
      <w:bookmarkEnd w:id="2"/>
      <w:bookmarkEnd w:id="3"/>
      <w:bookmarkEnd w:id="4"/>
      <w:bookmarkEnd w:id="5"/>
    </w:p>
    <w:p w14:paraId="72D0C070" w14:textId="77777777" w:rsidR="00FC261A" w:rsidRPr="006F4023" w:rsidRDefault="00FC261A" w:rsidP="00FC261A">
      <w:pPr>
        <w:pStyle w:val="Heading2"/>
      </w:pPr>
      <w:bookmarkStart w:id="6" w:name="_Toc10451163"/>
      <w:bookmarkStart w:id="7" w:name="_Toc10451262"/>
      <w:bookmarkStart w:id="8" w:name="_Toc10451431"/>
      <w:bookmarkStart w:id="9" w:name="_Toc19180623"/>
      <w:bookmarkStart w:id="10" w:name="_Toc42765075"/>
      <w:bookmarkStart w:id="11" w:name="_Toc66967163"/>
      <w:bookmarkEnd w:id="6"/>
      <w:bookmarkEnd w:id="7"/>
      <w:r w:rsidRPr="006F4023">
        <w:t>The role of the IESC</w:t>
      </w:r>
      <w:bookmarkEnd w:id="8"/>
      <w:bookmarkEnd w:id="9"/>
      <w:bookmarkEnd w:id="10"/>
      <w:bookmarkEnd w:id="11"/>
    </w:p>
    <w:p w14:paraId="4D736F44" w14:textId="77777777" w:rsidR="00FC261A" w:rsidRPr="006F4023" w:rsidRDefault="00FC261A" w:rsidP="00FC261A">
      <w:pPr>
        <w:pStyle w:val="05BODYTEXT"/>
        <w:spacing w:line="240" w:lineRule="auto"/>
        <w:rPr>
          <w:rFonts w:ascii="Garamond" w:hAnsi="Garamond"/>
          <w:lang w:val="en-AU"/>
        </w:rPr>
      </w:pPr>
      <w:r w:rsidRPr="006F4023">
        <w:rPr>
          <w:rFonts w:ascii="Garamond" w:hAnsi="Garamond"/>
          <w:lang w:val="en-AU"/>
        </w:rPr>
        <w:t xml:space="preserve">The Independent Expert Scientific Committee on Coal Seam Gas and Large Coal Mining Development (the IESC) is a statutory body under the </w:t>
      </w:r>
      <w:r w:rsidRPr="006F4023">
        <w:rPr>
          <w:rStyle w:val="ITALIC"/>
          <w:rFonts w:ascii="Garamond" w:hAnsi="Garamond"/>
          <w:lang w:val="en-AU"/>
        </w:rPr>
        <w:t>Environment Protection and Biodiversity Conservation Act 1999</w:t>
      </w:r>
      <w:r w:rsidRPr="006F4023">
        <w:rPr>
          <w:rFonts w:ascii="Garamond" w:hAnsi="Garamond"/>
          <w:lang w:val="en-AU"/>
        </w:rPr>
        <w:t xml:space="preserve"> (</w:t>
      </w:r>
      <w:proofErr w:type="spellStart"/>
      <w:r w:rsidRPr="006F4023">
        <w:rPr>
          <w:rFonts w:ascii="Garamond" w:hAnsi="Garamond"/>
          <w:lang w:val="en-AU"/>
        </w:rPr>
        <w:t>Cth</w:t>
      </w:r>
      <w:proofErr w:type="spellEnd"/>
      <w:r w:rsidRPr="006F4023">
        <w:rPr>
          <w:rFonts w:ascii="Garamond" w:hAnsi="Garamond"/>
          <w:lang w:val="en-AU"/>
        </w:rPr>
        <w:t>) (EPBC Act). The IESC’s key legislative functions are to:</w:t>
      </w:r>
    </w:p>
    <w:p w14:paraId="608050CD" w14:textId="632486B0" w:rsidR="00FC261A" w:rsidRPr="006F4023" w:rsidRDefault="00FC261A" w:rsidP="00C51958">
      <w:pPr>
        <w:pStyle w:val="06DOTPOINTS"/>
        <w:numPr>
          <w:ilvl w:val="0"/>
          <w:numId w:val="6"/>
        </w:numPr>
        <w:spacing w:line="240" w:lineRule="auto"/>
        <w:rPr>
          <w:rFonts w:ascii="Garamond" w:hAnsi="Garamond"/>
        </w:rPr>
      </w:pPr>
      <w:r w:rsidRPr="006F4023">
        <w:rPr>
          <w:rFonts w:ascii="Garamond" w:hAnsi="Garamond"/>
        </w:rPr>
        <w:t xml:space="preserve">provide scientific advice to the Commonwealth Environment Minister and relevant state ministers on coal seam gas (CSG) and large coal mining (LCM) development proposals that are likely to have a significant impact on water </w:t>
      </w:r>
      <w:proofErr w:type="gramStart"/>
      <w:r w:rsidRPr="006F4023">
        <w:rPr>
          <w:rFonts w:ascii="Garamond" w:hAnsi="Garamond"/>
        </w:rPr>
        <w:t>resources</w:t>
      </w:r>
      <w:r w:rsidR="002E299A" w:rsidRPr="006F4023">
        <w:rPr>
          <w:rFonts w:ascii="Garamond" w:hAnsi="Garamond"/>
        </w:rPr>
        <w:t>;</w:t>
      </w:r>
      <w:proofErr w:type="gramEnd"/>
    </w:p>
    <w:p w14:paraId="35A8C527" w14:textId="0C3CBA67" w:rsidR="00FC261A" w:rsidRPr="006F4023" w:rsidRDefault="00FC261A" w:rsidP="00C51958">
      <w:pPr>
        <w:pStyle w:val="06DOTPOINTS"/>
        <w:numPr>
          <w:ilvl w:val="0"/>
          <w:numId w:val="6"/>
        </w:numPr>
        <w:spacing w:line="240" w:lineRule="auto"/>
        <w:rPr>
          <w:rFonts w:ascii="Garamond" w:hAnsi="Garamond"/>
        </w:rPr>
      </w:pPr>
      <w:r w:rsidRPr="006F4023">
        <w:rPr>
          <w:rFonts w:ascii="Garamond" w:hAnsi="Garamond"/>
        </w:rPr>
        <w:t xml:space="preserve">provide scientific advice to the Commonwealth Environment Minister on </w:t>
      </w:r>
      <w:hyperlink r:id="rId38" w:history="1">
        <w:r w:rsidRPr="006F4023">
          <w:rPr>
            <w:rStyle w:val="Hyperlink"/>
            <w:rFonts w:ascii="Garamond" w:hAnsi="Garamond"/>
          </w:rPr>
          <w:t>bioregional assessments (CoA 2018a) of areas of CSG and large coal mining development</w:t>
        </w:r>
      </w:hyperlink>
      <w:r w:rsidR="002E299A" w:rsidRPr="006F4023">
        <w:rPr>
          <w:rStyle w:val="Hyperlink"/>
          <w:rFonts w:ascii="Garamond" w:hAnsi="Garamond"/>
        </w:rPr>
        <w:t>;</w:t>
      </w:r>
    </w:p>
    <w:p w14:paraId="26A04C9A" w14:textId="15A37623" w:rsidR="00FC261A" w:rsidRPr="006F4023" w:rsidRDefault="00FC261A" w:rsidP="00C51958">
      <w:pPr>
        <w:pStyle w:val="06DOTPOINTS"/>
        <w:numPr>
          <w:ilvl w:val="0"/>
          <w:numId w:val="6"/>
        </w:numPr>
        <w:spacing w:line="240" w:lineRule="auto"/>
        <w:rPr>
          <w:rFonts w:ascii="Garamond" w:hAnsi="Garamond"/>
        </w:rPr>
      </w:pPr>
      <w:r w:rsidRPr="006F4023">
        <w:rPr>
          <w:rFonts w:ascii="Garamond" w:hAnsi="Garamond"/>
        </w:rPr>
        <w:t xml:space="preserve">provide scientific advice to the Commonwealth Environment Minister on research priorities and </w:t>
      </w:r>
      <w:proofErr w:type="gramStart"/>
      <w:r w:rsidRPr="006F4023">
        <w:rPr>
          <w:rFonts w:ascii="Garamond" w:hAnsi="Garamond"/>
        </w:rPr>
        <w:t>projects</w:t>
      </w:r>
      <w:r w:rsidR="002E299A" w:rsidRPr="006F4023">
        <w:rPr>
          <w:rFonts w:ascii="Garamond" w:hAnsi="Garamond"/>
        </w:rPr>
        <w:t>;</w:t>
      </w:r>
      <w:proofErr w:type="gramEnd"/>
    </w:p>
    <w:p w14:paraId="6EA764D8" w14:textId="3AF7DE21" w:rsidR="00FC261A" w:rsidRPr="006F4023" w:rsidRDefault="00FC261A" w:rsidP="00C51958">
      <w:pPr>
        <w:pStyle w:val="06DOTPOINTS"/>
        <w:numPr>
          <w:ilvl w:val="0"/>
          <w:numId w:val="6"/>
        </w:numPr>
        <w:spacing w:line="240" w:lineRule="auto"/>
        <w:rPr>
          <w:rFonts w:ascii="Garamond" w:hAnsi="Garamond"/>
        </w:rPr>
      </w:pPr>
      <w:r w:rsidRPr="006F4023">
        <w:rPr>
          <w:rFonts w:ascii="Garamond" w:hAnsi="Garamond"/>
        </w:rPr>
        <w:t xml:space="preserve">collect, analyse, interpret and publish scientific information about the impacts of CSG and large coal mining activities on water </w:t>
      </w:r>
      <w:proofErr w:type="gramStart"/>
      <w:r w:rsidRPr="006F4023">
        <w:rPr>
          <w:rFonts w:ascii="Garamond" w:hAnsi="Garamond"/>
        </w:rPr>
        <w:t>resources</w:t>
      </w:r>
      <w:r w:rsidR="002E299A" w:rsidRPr="006F4023">
        <w:rPr>
          <w:rFonts w:ascii="Garamond" w:hAnsi="Garamond"/>
        </w:rPr>
        <w:t>;</w:t>
      </w:r>
      <w:proofErr w:type="gramEnd"/>
    </w:p>
    <w:p w14:paraId="26D49573" w14:textId="7E4C0AB4" w:rsidR="00FC261A" w:rsidRPr="006F4023" w:rsidRDefault="00FC261A" w:rsidP="00C51958">
      <w:pPr>
        <w:pStyle w:val="06DOTPOINTS"/>
        <w:numPr>
          <w:ilvl w:val="0"/>
          <w:numId w:val="6"/>
        </w:numPr>
        <w:spacing w:line="240" w:lineRule="auto"/>
        <w:rPr>
          <w:rFonts w:ascii="Garamond" w:hAnsi="Garamond"/>
        </w:rPr>
      </w:pPr>
      <w:r w:rsidRPr="006F4023">
        <w:rPr>
          <w:rFonts w:ascii="Garamond" w:hAnsi="Garamond"/>
        </w:rPr>
        <w:t>publish information relating to the development of standards for protecting water resources from the impacts of CSG and large coal mining development</w:t>
      </w:r>
      <w:r w:rsidR="002E299A" w:rsidRPr="006F4023">
        <w:rPr>
          <w:rFonts w:ascii="Garamond" w:hAnsi="Garamond"/>
        </w:rPr>
        <w:t>; and</w:t>
      </w:r>
    </w:p>
    <w:p w14:paraId="447634AB" w14:textId="77777777" w:rsidR="00FC261A" w:rsidRPr="006F4023" w:rsidRDefault="00FC261A" w:rsidP="00C51958">
      <w:pPr>
        <w:pStyle w:val="06DOTPOINTS"/>
        <w:numPr>
          <w:ilvl w:val="0"/>
          <w:numId w:val="6"/>
        </w:numPr>
        <w:spacing w:line="240" w:lineRule="auto"/>
        <w:rPr>
          <w:rFonts w:ascii="Garamond" w:hAnsi="Garamond"/>
        </w:rPr>
      </w:pPr>
      <w:r w:rsidRPr="006F4023">
        <w:rPr>
          <w:rFonts w:ascii="Garamond" w:hAnsi="Garamond"/>
        </w:rPr>
        <w:t>provide scientific advice on other matters in response to a request from the Commonwealth or relevant state ministers.</w:t>
      </w:r>
    </w:p>
    <w:p w14:paraId="05CF6070" w14:textId="10C7AF34" w:rsidR="00FC261A" w:rsidRPr="006F4023" w:rsidRDefault="00FC261A" w:rsidP="00FC261A">
      <w:pPr>
        <w:pStyle w:val="05BODYTEXT"/>
        <w:spacing w:line="240" w:lineRule="auto"/>
        <w:rPr>
          <w:rFonts w:ascii="Garamond" w:hAnsi="Garamond"/>
          <w:lang w:val="en-AU"/>
        </w:rPr>
      </w:pPr>
      <w:r w:rsidRPr="006F4023">
        <w:rPr>
          <w:rFonts w:ascii="Garamond" w:hAnsi="Garamond"/>
          <w:lang w:val="en-AU"/>
        </w:rPr>
        <w:t xml:space="preserve">Further information on the IESC’s role is on the </w:t>
      </w:r>
      <w:hyperlink r:id="rId39" w:history="1">
        <w:r w:rsidRPr="006F4023">
          <w:rPr>
            <w:rStyle w:val="Hyperlink"/>
            <w:rFonts w:ascii="Garamond" w:hAnsi="Garamond"/>
            <w:lang w:val="en-AU"/>
          </w:rPr>
          <w:t>IESC website</w:t>
        </w:r>
      </w:hyperlink>
      <w:r w:rsidRPr="006F4023">
        <w:rPr>
          <w:rFonts w:ascii="Garamond" w:hAnsi="Garamond"/>
          <w:lang w:val="en-AU"/>
        </w:rPr>
        <w:t xml:space="preserve"> (CoA 2018b).</w:t>
      </w:r>
    </w:p>
    <w:p w14:paraId="7FB353C5" w14:textId="77777777" w:rsidR="00FC261A" w:rsidRPr="006F4023" w:rsidRDefault="00FC261A" w:rsidP="00FC261A">
      <w:pPr>
        <w:pStyle w:val="Heading2"/>
      </w:pPr>
      <w:bookmarkStart w:id="12" w:name="_Toc10451164"/>
      <w:bookmarkStart w:id="13" w:name="_Toc10451263"/>
      <w:bookmarkStart w:id="14" w:name="_Toc10451432"/>
      <w:bookmarkStart w:id="15" w:name="_Toc19180624"/>
      <w:bookmarkStart w:id="16" w:name="_Toc42765076"/>
      <w:bookmarkStart w:id="17" w:name="_Toc66967164"/>
      <w:bookmarkEnd w:id="12"/>
      <w:bookmarkEnd w:id="13"/>
      <w:r w:rsidRPr="006F4023">
        <w:t>The purpose of the Explanatory Notes</w:t>
      </w:r>
      <w:bookmarkEnd w:id="14"/>
      <w:bookmarkEnd w:id="15"/>
      <w:bookmarkEnd w:id="16"/>
      <w:bookmarkEnd w:id="17"/>
    </w:p>
    <w:p w14:paraId="1DA1976B" w14:textId="77777777" w:rsidR="00FC261A" w:rsidRPr="006F4023" w:rsidRDefault="00FC261A" w:rsidP="00FC261A">
      <w:pPr>
        <w:pStyle w:val="05BODYTEXT"/>
        <w:spacing w:line="240" w:lineRule="auto"/>
        <w:rPr>
          <w:rFonts w:ascii="Garamond" w:hAnsi="Garamond"/>
          <w:lang w:val="en-AU"/>
        </w:rPr>
      </w:pPr>
      <w:r w:rsidRPr="006F4023">
        <w:rPr>
          <w:rFonts w:ascii="Garamond" w:hAnsi="Garamond"/>
          <w:lang w:val="en-AU"/>
        </w:rPr>
        <w:t>One of the IESC’s key legislative functions is to provide scientific advice to the Commonwealth Environment Minister and relevant state ministers in relation to CSG and LCM development proposals that are likely to have a significant impact on water resources.</w:t>
      </w:r>
    </w:p>
    <w:p w14:paraId="5B3A983F" w14:textId="579910B1" w:rsidR="00FC261A" w:rsidRPr="006F4023" w:rsidRDefault="00FC261A" w:rsidP="00FC261A">
      <w:pPr>
        <w:pStyle w:val="05BODYTEXT"/>
        <w:spacing w:line="240" w:lineRule="auto"/>
        <w:rPr>
          <w:rFonts w:ascii="Garamond" w:hAnsi="Garamond"/>
          <w:lang w:val="en-AU"/>
        </w:rPr>
      </w:pPr>
      <w:r w:rsidRPr="006F4023">
        <w:rPr>
          <w:rFonts w:ascii="Garamond" w:hAnsi="Garamond"/>
          <w:lang w:val="en-AU"/>
        </w:rPr>
        <w:t xml:space="preserve">The IESC outlines its specific information requirements in the IESC </w:t>
      </w:r>
      <w:r w:rsidRPr="006F4023">
        <w:rPr>
          <w:rFonts w:ascii="Garamond" w:hAnsi="Garamond"/>
          <w:i/>
          <w:iCs/>
          <w:lang w:val="en-AU"/>
        </w:rPr>
        <w:t>I</w:t>
      </w:r>
      <w:r w:rsidRPr="006F4023">
        <w:rPr>
          <w:rStyle w:val="ITALIC"/>
          <w:rFonts w:ascii="Garamond" w:hAnsi="Garamond"/>
          <w:lang w:val="en-AU"/>
        </w:rPr>
        <w:t>nformation guidelines for proponents preparing coal seam gas and large coal mining development proposals</w:t>
      </w:r>
      <w:r w:rsidRPr="006F4023">
        <w:rPr>
          <w:rFonts w:ascii="Garamond" w:hAnsi="Garamond"/>
          <w:lang w:val="en-AU"/>
        </w:rPr>
        <w:t xml:space="preserve"> (IESC 2018) (the </w:t>
      </w:r>
      <w:hyperlink r:id="rId40" w:history="1">
        <w:r w:rsidRPr="006F4023">
          <w:rPr>
            <w:rStyle w:val="Hyperlink"/>
            <w:rFonts w:ascii="Garamond" w:hAnsi="Garamond"/>
            <w:lang w:val="en-AU"/>
          </w:rPr>
          <w:t>Information Guidelines</w:t>
        </w:r>
      </w:hyperlink>
      <w:r w:rsidRPr="006F4023">
        <w:rPr>
          <w:rFonts w:ascii="Garamond" w:hAnsi="Garamond"/>
          <w:lang w:val="en-AU"/>
        </w:rPr>
        <w:t>). This information is requested to enable the IESC to formulate robust scientific advice for regulators on the potential water-related impacts from CSG and LCM developments.</w:t>
      </w:r>
    </w:p>
    <w:p w14:paraId="71EF8173" w14:textId="77777777" w:rsidR="00FC261A" w:rsidRPr="006F4023" w:rsidRDefault="00FC261A" w:rsidP="00FC261A">
      <w:pPr>
        <w:pStyle w:val="05BODYTEXT"/>
        <w:spacing w:line="240" w:lineRule="auto"/>
        <w:rPr>
          <w:rFonts w:ascii="Garamond" w:hAnsi="Garamond"/>
          <w:lang w:val="en-AU"/>
        </w:rPr>
      </w:pPr>
      <w:r w:rsidRPr="006F4023">
        <w:rPr>
          <w:rFonts w:ascii="Garamond" w:hAnsi="Garamond"/>
          <w:lang w:val="en-AU"/>
        </w:rPr>
        <w:t>For some topics, Explanatory Notes have been written to supplement the IESC Information Guidelines, giving more detailed guidance to help the CSG and LCM industries prepare environmental impact assessments. These topics are chosen based on the IESC’s experience of providing advice on over 100 development proposals.</w:t>
      </w:r>
    </w:p>
    <w:p w14:paraId="0C460D72" w14:textId="77777777" w:rsidR="00FC261A" w:rsidRPr="006F4023" w:rsidRDefault="00FC261A" w:rsidP="00FC261A">
      <w:pPr>
        <w:pStyle w:val="05BODYTEXT"/>
        <w:spacing w:line="240" w:lineRule="auto"/>
        <w:rPr>
          <w:rFonts w:ascii="Garamond" w:hAnsi="Garamond"/>
          <w:lang w:val="en-AU"/>
        </w:rPr>
      </w:pPr>
      <w:r w:rsidRPr="006F4023">
        <w:rPr>
          <w:rFonts w:ascii="Garamond" w:hAnsi="Garamond"/>
          <w:lang w:val="en-AU"/>
        </w:rPr>
        <w:t>Explanatory Notes are intended to assist proponents in preparing environmental impact assessments. They provide tailored guidance and describe up-to-date</w:t>
      </w:r>
      <w:r w:rsidR="00B520C4" w:rsidRPr="006F4023">
        <w:rPr>
          <w:rFonts w:ascii="Garamond" w:hAnsi="Garamond"/>
          <w:lang w:val="en-AU"/>
        </w:rPr>
        <w:t>,</w:t>
      </w:r>
      <w:r w:rsidRPr="006F4023">
        <w:rPr>
          <w:rFonts w:ascii="Garamond" w:hAnsi="Garamond"/>
          <w:lang w:val="en-AU"/>
        </w:rPr>
        <w:t xml:space="preserve"> robust</w:t>
      </w:r>
      <w:r w:rsidR="00B520C4" w:rsidRPr="006F4023">
        <w:rPr>
          <w:rFonts w:ascii="Garamond" w:hAnsi="Garamond"/>
          <w:lang w:val="en-AU"/>
        </w:rPr>
        <w:t>,</w:t>
      </w:r>
      <w:r w:rsidRPr="006F4023">
        <w:rPr>
          <w:rFonts w:ascii="Garamond" w:hAnsi="Garamond"/>
          <w:lang w:val="en-AU"/>
        </w:rPr>
        <w:t xml:space="preserve"> scientific methodologies and tools for specific components of environmental impact assessments on CSG and LCM developments. Case studies and practical examples of how to present certain information are also discussed.</w:t>
      </w:r>
    </w:p>
    <w:p w14:paraId="767E7AD8" w14:textId="77777777" w:rsidR="00FC261A" w:rsidRPr="006F4023" w:rsidRDefault="00FC261A" w:rsidP="00FC261A">
      <w:pPr>
        <w:pStyle w:val="05BODYTEXT"/>
        <w:spacing w:line="240" w:lineRule="auto"/>
        <w:rPr>
          <w:rFonts w:ascii="Garamond" w:hAnsi="Garamond"/>
          <w:lang w:val="en-AU"/>
        </w:rPr>
      </w:pPr>
      <w:r w:rsidRPr="006F4023">
        <w:rPr>
          <w:rFonts w:ascii="Garamond" w:hAnsi="Garamond"/>
          <w:lang w:val="en-AU"/>
        </w:rPr>
        <w:t xml:space="preserve">Explanatory Notes provide guidance rather than mandatory requirements. Proponents are encouraged to refer to issues of relevance to their </w:t>
      </w:r>
      <w:proofErr w:type="gramStart"/>
      <w:r w:rsidRPr="006F4023">
        <w:rPr>
          <w:rFonts w:ascii="Garamond" w:hAnsi="Garamond"/>
          <w:lang w:val="en-AU"/>
        </w:rPr>
        <w:t>particular project</w:t>
      </w:r>
      <w:proofErr w:type="gramEnd"/>
      <w:r w:rsidRPr="006F4023">
        <w:rPr>
          <w:rFonts w:ascii="Garamond" w:hAnsi="Garamond"/>
          <w:lang w:val="en-AU"/>
        </w:rPr>
        <w:t>.</w:t>
      </w:r>
    </w:p>
    <w:p w14:paraId="6D3BA5A7" w14:textId="1B1B3340" w:rsidR="00FC261A" w:rsidRPr="006F4023" w:rsidRDefault="00FC261A" w:rsidP="00FC261A">
      <w:pPr>
        <w:pStyle w:val="05BODYTEXT"/>
        <w:spacing w:line="240" w:lineRule="auto"/>
        <w:rPr>
          <w:rFonts w:ascii="Garamond" w:hAnsi="Garamond"/>
          <w:lang w:val="en-AU"/>
        </w:rPr>
      </w:pPr>
      <w:r w:rsidRPr="006F4023">
        <w:rPr>
          <w:rFonts w:ascii="Garamond" w:hAnsi="Garamond"/>
          <w:lang w:val="en-AU"/>
        </w:rPr>
        <w:t xml:space="preserve">The tools and methods identified in this document are provided to help </w:t>
      </w:r>
      <w:r w:rsidR="00EF0FA5" w:rsidRPr="006F4023">
        <w:rPr>
          <w:rFonts w:ascii="Garamond" w:hAnsi="Garamond"/>
          <w:lang w:val="en-AU"/>
        </w:rPr>
        <w:t xml:space="preserve">explain to </w:t>
      </w:r>
      <w:r w:rsidRPr="006F4023">
        <w:rPr>
          <w:rFonts w:ascii="Garamond" w:hAnsi="Garamond"/>
          <w:lang w:val="en-AU"/>
        </w:rPr>
        <w:t xml:space="preserve">proponents the </w:t>
      </w:r>
      <w:bookmarkStart w:id="18" w:name="_Hlk56782814"/>
      <w:r w:rsidRPr="006F4023">
        <w:rPr>
          <w:rFonts w:ascii="Garamond" w:hAnsi="Garamond"/>
          <w:lang w:val="en-AU"/>
        </w:rPr>
        <w:t>range of available approaches to determine, at the highest level</w:t>
      </w:r>
      <w:bookmarkEnd w:id="18"/>
      <w:r w:rsidRPr="006F4023">
        <w:rPr>
          <w:rFonts w:ascii="Garamond" w:hAnsi="Garamond"/>
          <w:lang w:val="en-AU"/>
        </w:rPr>
        <w:t xml:space="preserve">, </w:t>
      </w:r>
      <w:r w:rsidR="00EF0FA5" w:rsidRPr="006F4023">
        <w:rPr>
          <w:rFonts w:ascii="Garamond" w:hAnsi="Garamond"/>
          <w:lang w:val="en-AU"/>
        </w:rPr>
        <w:t xml:space="preserve">the role faults may play in </w:t>
      </w:r>
      <w:r w:rsidR="00235163" w:rsidRPr="006F4023">
        <w:rPr>
          <w:rFonts w:ascii="Garamond" w:hAnsi="Garamond"/>
          <w:lang w:val="en-AU"/>
        </w:rPr>
        <w:t>impeding</w:t>
      </w:r>
      <w:r w:rsidR="00EF0FA5" w:rsidRPr="006F4023">
        <w:rPr>
          <w:rFonts w:ascii="Garamond" w:hAnsi="Garamond"/>
          <w:lang w:val="en-AU"/>
        </w:rPr>
        <w:t xml:space="preserve"> or </w:t>
      </w:r>
      <w:r w:rsidR="00235163" w:rsidRPr="006F4023">
        <w:rPr>
          <w:rFonts w:ascii="Garamond" w:hAnsi="Garamond"/>
          <w:lang w:val="en-AU"/>
        </w:rPr>
        <w:t>propagating</w:t>
      </w:r>
      <w:r w:rsidR="00EF0FA5" w:rsidRPr="006F4023">
        <w:rPr>
          <w:rFonts w:ascii="Garamond" w:hAnsi="Garamond"/>
          <w:lang w:val="en-AU"/>
        </w:rPr>
        <w:t xml:space="preserve"> pressure and ground</w:t>
      </w:r>
      <w:r w:rsidR="00235163" w:rsidRPr="006F4023">
        <w:rPr>
          <w:rFonts w:ascii="Garamond" w:hAnsi="Garamond"/>
          <w:lang w:val="en-AU"/>
        </w:rPr>
        <w:t xml:space="preserve">water </w:t>
      </w:r>
      <w:r w:rsidR="00EF0FA5" w:rsidRPr="006F4023">
        <w:rPr>
          <w:rFonts w:ascii="Garamond" w:hAnsi="Garamond"/>
          <w:lang w:val="en-AU"/>
        </w:rPr>
        <w:t xml:space="preserve">flow impacts from proposed project developments. </w:t>
      </w:r>
      <w:r w:rsidRPr="006F4023">
        <w:rPr>
          <w:rFonts w:ascii="Garamond" w:hAnsi="Garamond"/>
          <w:lang w:val="en-AU"/>
        </w:rPr>
        <w:t>Proponents are encouraged to refer to specialised literature and engage with their relevant state regulators.</w:t>
      </w:r>
    </w:p>
    <w:p w14:paraId="244EFB2B" w14:textId="77777777" w:rsidR="00FC261A" w:rsidRPr="006F4023" w:rsidRDefault="00FC261A" w:rsidP="00FC261A">
      <w:pPr>
        <w:pStyle w:val="05BODYTEXT"/>
        <w:spacing w:line="240" w:lineRule="auto"/>
        <w:rPr>
          <w:rFonts w:ascii="Garamond" w:hAnsi="Garamond"/>
          <w:lang w:val="en-AU"/>
        </w:rPr>
      </w:pPr>
      <w:r w:rsidRPr="006F4023">
        <w:rPr>
          <w:rFonts w:ascii="Garamond" w:hAnsi="Garamond"/>
          <w:lang w:val="en-AU"/>
        </w:rPr>
        <w:t xml:space="preserve">The IESC recognises that approaches, methods, </w:t>
      </w:r>
      <w:proofErr w:type="gramStart"/>
      <w:r w:rsidRPr="006F4023">
        <w:rPr>
          <w:rFonts w:ascii="Garamond" w:hAnsi="Garamond"/>
          <w:lang w:val="en-AU"/>
        </w:rPr>
        <w:t>tools</w:t>
      </w:r>
      <w:proofErr w:type="gramEnd"/>
      <w:r w:rsidRPr="006F4023">
        <w:rPr>
          <w:rFonts w:ascii="Garamond" w:hAnsi="Garamond"/>
          <w:lang w:val="en-AU"/>
        </w:rPr>
        <w:t xml:space="preserve"> and software will continue to develop. The Information Guidelines and Explanatory Notes will be reviewed and updated as necessary to reflect these advances.</w:t>
      </w:r>
    </w:p>
    <w:p w14:paraId="05067212" w14:textId="77777777" w:rsidR="00FC261A" w:rsidRPr="006F4023" w:rsidRDefault="00FC261A" w:rsidP="00FC261A">
      <w:pPr>
        <w:pStyle w:val="Heading2"/>
      </w:pPr>
      <w:bookmarkStart w:id="19" w:name="_Toc10451165"/>
      <w:bookmarkStart w:id="20" w:name="_Toc10451264"/>
      <w:bookmarkStart w:id="21" w:name="_Toc10451433"/>
      <w:bookmarkStart w:id="22" w:name="_Toc19180625"/>
      <w:bookmarkStart w:id="23" w:name="_Toc42765077"/>
      <w:bookmarkStart w:id="24" w:name="_Toc66967165"/>
      <w:bookmarkEnd w:id="19"/>
      <w:bookmarkEnd w:id="20"/>
      <w:r w:rsidRPr="006F4023">
        <w:t>Legislative context</w:t>
      </w:r>
      <w:bookmarkEnd w:id="21"/>
      <w:bookmarkEnd w:id="22"/>
      <w:bookmarkEnd w:id="23"/>
      <w:bookmarkEnd w:id="24"/>
    </w:p>
    <w:p w14:paraId="6352E106" w14:textId="262235FC" w:rsidR="00FC261A" w:rsidRPr="006F4023" w:rsidRDefault="00FC261A" w:rsidP="00FC261A">
      <w:pPr>
        <w:pStyle w:val="05BODYTEXT"/>
        <w:spacing w:line="240" w:lineRule="auto"/>
        <w:rPr>
          <w:rFonts w:ascii="Garamond" w:hAnsi="Garamond"/>
          <w:lang w:val="en-AU"/>
        </w:rPr>
      </w:pPr>
      <w:r w:rsidRPr="006F4023">
        <w:rPr>
          <w:rFonts w:ascii="Garamond" w:hAnsi="Garamond"/>
          <w:lang w:val="en-AU"/>
        </w:rPr>
        <w:t xml:space="preserve">The </w:t>
      </w:r>
      <w:hyperlink r:id="rId41" w:history="1">
        <w:r w:rsidRPr="006F4023">
          <w:rPr>
            <w:rStyle w:val="Hyperlink"/>
            <w:rFonts w:ascii="Garamond" w:hAnsi="Garamond"/>
            <w:i/>
            <w:iCs/>
            <w:lang w:val="en-AU"/>
          </w:rPr>
          <w:t>Environment Protection and Biodiversity Conservation Act 1999</w:t>
        </w:r>
      </w:hyperlink>
      <w:r w:rsidRPr="006F4023">
        <w:rPr>
          <w:rStyle w:val="ITALIC"/>
          <w:rFonts w:ascii="Garamond" w:hAnsi="Garamond"/>
          <w:lang w:val="en-AU"/>
        </w:rPr>
        <w:t xml:space="preserve"> </w:t>
      </w:r>
      <w:r w:rsidRPr="006F4023">
        <w:rPr>
          <w:rFonts w:ascii="Garamond" w:hAnsi="Garamond"/>
          <w:lang w:val="en-AU"/>
        </w:rPr>
        <w:t>(</w:t>
      </w:r>
      <w:proofErr w:type="spellStart"/>
      <w:r w:rsidRPr="006F4023">
        <w:rPr>
          <w:rFonts w:ascii="Garamond" w:hAnsi="Garamond"/>
          <w:lang w:val="en-AU"/>
        </w:rPr>
        <w:t>Cth</w:t>
      </w:r>
      <w:proofErr w:type="spellEnd"/>
      <w:r w:rsidRPr="006F4023">
        <w:rPr>
          <w:rFonts w:ascii="Garamond" w:hAnsi="Garamond"/>
          <w:lang w:val="en-AU"/>
        </w:rPr>
        <w:t>) (EPBC Act) states that water resources in relation to CSG and LCM developments are a matter of national environmental significance.</w:t>
      </w:r>
    </w:p>
    <w:p w14:paraId="7D8F7DC4" w14:textId="097DDCAB" w:rsidR="00FC261A" w:rsidRPr="006F4023" w:rsidRDefault="00FC261A" w:rsidP="00FC261A">
      <w:pPr>
        <w:pStyle w:val="05BODYTEXT"/>
        <w:spacing w:line="240" w:lineRule="auto"/>
        <w:rPr>
          <w:rFonts w:ascii="Garamond" w:hAnsi="Garamond"/>
          <w:lang w:val="en-AU"/>
        </w:rPr>
      </w:pPr>
      <w:r w:rsidRPr="006F4023">
        <w:rPr>
          <w:rFonts w:ascii="Garamond" w:hAnsi="Garamond"/>
          <w:lang w:val="en-AU"/>
        </w:rPr>
        <w:lastRenderedPageBreak/>
        <w:t>A water resource is defined by the</w:t>
      </w:r>
      <w:r w:rsidRPr="006F4023">
        <w:rPr>
          <w:rStyle w:val="ITALIC"/>
          <w:rFonts w:ascii="Garamond" w:hAnsi="Garamond"/>
          <w:lang w:val="en-AU"/>
        </w:rPr>
        <w:t xml:space="preserve"> </w:t>
      </w:r>
      <w:hyperlink r:id="rId42" w:history="1">
        <w:r w:rsidRPr="006F4023">
          <w:rPr>
            <w:rStyle w:val="Hyperlink"/>
            <w:rFonts w:ascii="Garamond" w:hAnsi="Garamond"/>
            <w:i/>
            <w:iCs/>
            <w:lang w:val="en-AU"/>
          </w:rPr>
          <w:t>Water Act 2007</w:t>
        </w:r>
      </w:hyperlink>
      <w:r w:rsidRPr="006F4023">
        <w:rPr>
          <w:rFonts w:ascii="Garamond" w:hAnsi="Garamond"/>
          <w:lang w:val="en-AU"/>
        </w:rPr>
        <w:t xml:space="preserve"> (</w:t>
      </w:r>
      <w:proofErr w:type="spellStart"/>
      <w:r w:rsidRPr="006F4023">
        <w:rPr>
          <w:rFonts w:ascii="Garamond" w:hAnsi="Garamond"/>
          <w:lang w:val="en-AU"/>
        </w:rPr>
        <w:t>Cth</w:t>
      </w:r>
      <w:proofErr w:type="spellEnd"/>
      <w:r w:rsidRPr="006F4023">
        <w:rPr>
          <w:rFonts w:ascii="Garamond" w:hAnsi="Garamond"/>
          <w:lang w:val="en-AU"/>
        </w:rPr>
        <w:t>) as: ‘(</w:t>
      </w:r>
      <w:proofErr w:type="spellStart"/>
      <w:r w:rsidRPr="006F4023">
        <w:rPr>
          <w:rFonts w:ascii="Garamond" w:hAnsi="Garamond"/>
          <w:lang w:val="en-AU"/>
        </w:rPr>
        <w:t>i</w:t>
      </w:r>
      <w:proofErr w:type="spellEnd"/>
      <w:r w:rsidRPr="006F4023">
        <w:rPr>
          <w:rFonts w:ascii="Garamond" w:hAnsi="Garamond"/>
          <w:lang w:val="en-AU"/>
        </w:rPr>
        <w:t>) surface water or groundwater; or (ii) a water course, lake, wetland or aquifer (whether or not it currently has water in it); and includes all aspects of the water resource (including water, organisms and other components and ecosystems that contribute to the physical state and environmental value of the resource)’.</w:t>
      </w:r>
    </w:p>
    <w:p w14:paraId="04D8B933" w14:textId="3C87309D" w:rsidR="00FC261A" w:rsidRPr="006F4023" w:rsidRDefault="00FC261A" w:rsidP="00FC261A">
      <w:pPr>
        <w:pStyle w:val="05BODYTEXT"/>
        <w:spacing w:line="240" w:lineRule="auto"/>
        <w:rPr>
          <w:rFonts w:ascii="Garamond" w:hAnsi="Garamond"/>
          <w:i/>
          <w:iCs/>
          <w:lang w:val="en-AU"/>
        </w:rPr>
      </w:pPr>
      <w:r w:rsidRPr="006F4023">
        <w:rPr>
          <w:rFonts w:ascii="Garamond" w:hAnsi="Garamond"/>
          <w:lang w:val="en-AU"/>
        </w:rPr>
        <w:t>Australian and state regulators who are signatories to the National Partnership Agreement seek the IESC’s advice under the</w:t>
      </w:r>
      <w:r w:rsidRPr="006F4023">
        <w:rPr>
          <w:rStyle w:val="ITALIC"/>
          <w:rFonts w:ascii="Garamond" w:hAnsi="Garamond"/>
          <w:lang w:val="en-AU"/>
        </w:rPr>
        <w:t xml:space="preserve"> EPBC Act 1999</w:t>
      </w:r>
      <w:r w:rsidRPr="006F4023">
        <w:rPr>
          <w:rFonts w:ascii="Garamond" w:hAnsi="Garamond"/>
          <w:lang w:val="en-AU"/>
        </w:rPr>
        <w:t xml:space="preserve"> (</w:t>
      </w:r>
      <w:proofErr w:type="spellStart"/>
      <w:r w:rsidRPr="006F4023">
        <w:rPr>
          <w:rFonts w:ascii="Garamond" w:hAnsi="Garamond"/>
          <w:lang w:val="en-AU"/>
        </w:rPr>
        <w:t>Cth</w:t>
      </w:r>
      <w:proofErr w:type="spellEnd"/>
      <w:r w:rsidRPr="006F4023">
        <w:rPr>
          <w:rFonts w:ascii="Garamond" w:hAnsi="Garamond"/>
          <w:lang w:val="en-AU"/>
        </w:rPr>
        <w:t xml:space="preserve">) at appropriate stages of the approvals process for a CSG or LCM development that is likely to have a significant impact on water resources. The regulator determines what is considered to be a significant impact based on the </w:t>
      </w:r>
      <w:hyperlink r:id="rId43" w:history="1">
        <w:r w:rsidRPr="006F4023">
          <w:rPr>
            <w:rStyle w:val="Hyperlink"/>
            <w:rFonts w:ascii="Garamond" w:hAnsi="Garamond"/>
            <w:i/>
            <w:iCs/>
            <w:lang w:val="en-AU"/>
          </w:rPr>
          <w:t>Significant Impact Guidelines 1.3</w:t>
        </w:r>
      </w:hyperlink>
      <w:r w:rsidRPr="006F4023">
        <w:rPr>
          <w:rFonts w:ascii="Garamond" w:hAnsi="Garamond"/>
          <w:i/>
          <w:iCs/>
          <w:lang w:val="en-AU"/>
        </w:rPr>
        <w:t>.</w:t>
      </w:r>
    </w:p>
    <w:p w14:paraId="094589B6" w14:textId="77777777" w:rsidR="00FC261A" w:rsidRPr="006F4023" w:rsidRDefault="00FC261A" w:rsidP="00FC261A">
      <w:pPr>
        <w:rPr>
          <w:rFonts w:ascii="Calibri" w:hAnsi="Calibri" w:cs="Times New Roman"/>
          <w:i/>
          <w:iCs/>
          <w:color w:val="000000"/>
          <w:szCs w:val="20"/>
        </w:rPr>
      </w:pPr>
      <w:r w:rsidRPr="006F4023">
        <w:rPr>
          <w:i/>
          <w:iCs/>
          <w:szCs w:val="20"/>
        </w:rPr>
        <w:br w:type="page"/>
      </w:r>
    </w:p>
    <w:p w14:paraId="4BC0B6BA" w14:textId="77777777" w:rsidR="00FC261A" w:rsidRPr="006F4023" w:rsidRDefault="00FC261A" w:rsidP="00FC261A">
      <w:pPr>
        <w:tabs>
          <w:tab w:val="left" w:pos="567"/>
        </w:tabs>
      </w:pPr>
    </w:p>
    <w:p w14:paraId="3B2ECC78" w14:textId="77777777" w:rsidR="00FC261A" w:rsidRPr="006F4023" w:rsidRDefault="00FC261A" w:rsidP="00FC261A">
      <w:pPr>
        <w:pStyle w:val="TableofFigures"/>
        <w:tabs>
          <w:tab w:val="right" w:leader="dot" w:pos="9060"/>
        </w:tabs>
        <w:rPr>
          <w:rFonts w:ascii="Adobe Garamond Pro" w:hAnsi="Adobe Garamond Pro" w:cs="Adobe Garamond Pro"/>
          <w:color w:val="000000"/>
          <w:sz w:val="16"/>
          <w:szCs w:val="16"/>
        </w:rPr>
      </w:pPr>
      <w:r w:rsidRPr="006F4023">
        <w:rPr>
          <w:rFonts w:ascii="Adobe Garamond Pro" w:hAnsi="Adobe Garamond Pro" w:cs="Adobe Garamond Pro"/>
          <w:color w:val="000000"/>
          <w:sz w:val="16"/>
          <w:szCs w:val="16"/>
        </w:rPr>
        <w:br w:type="page"/>
      </w:r>
    </w:p>
    <w:p w14:paraId="0D66FBB4" w14:textId="77777777" w:rsidR="00FC261A" w:rsidRPr="006F4023" w:rsidRDefault="00FC261A" w:rsidP="00FC261A">
      <w:pPr>
        <w:pStyle w:val="Heading1"/>
      </w:pPr>
      <w:bookmarkStart w:id="25" w:name="_Toc19180626"/>
      <w:bookmarkStart w:id="26" w:name="_Toc42765078"/>
      <w:bookmarkStart w:id="27" w:name="_Toc66967166"/>
      <w:bookmarkStart w:id="28" w:name="_Toc18939311"/>
      <w:bookmarkStart w:id="29" w:name="_Toc19180627"/>
      <w:r w:rsidRPr="006F4023">
        <w:lastRenderedPageBreak/>
        <w:t>Executive Summary</w:t>
      </w:r>
      <w:bookmarkEnd w:id="25"/>
      <w:bookmarkEnd w:id="26"/>
      <w:bookmarkEnd w:id="27"/>
    </w:p>
    <w:p w14:paraId="42D2CF47" w14:textId="40407E70" w:rsidR="00FC261A" w:rsidRPr="006F4023" w:rsidRDefault="00FC261A" w:rsidP="00632465">
      <w:pPr>
        <w:pStyle w:val="BodyText"/>
        <w:rPr>
          <w:lang w:val="en-AU"/>
        </w:rPr>
      </w:pPr>
      <w:r w:rsidRPr="006F4023">
        <w:rPr>
          <w:lang w:val="en-AU"/>
        </w:rPr>
        <w:t xml:space="preserve">Coal seam gas (CSG) and large coal mining (LCM) developments may disrupt water resources, through diversion of surface water and groundwater drawdown. Understanding whether the impacts of drawdown will propagate to valued groundwater assets, such as springs, wetlands, </w:t>
      </w:r>
      <w:proofErr w:type="gramStart"/>
      <w:r w:rsidRPr="006F4023">
        <w:rPr>
          <w:lang w:val="en-AU"/>
        </w:rPr>
        <w:t>aquifers</w:t>
      </w:r>
      <w:proofErr w:type="gramEnd"/>
      <w:r w:rsidRPr="006F4023">
        <w:rPr>
          <w:lang w:val="en-AU"/>
        </w:rPr>
        <w:t xml:space="preserve"> or groundwater-dependent ecosystems (GDEs) forms a vital part of environmental impact assessments for these projects.</w:t>
      </w:r>
      <w:r w:rsidR="00380F4E" w:rsidRPr="006F4023">
        <w:rPr>
          <w:lang w:val="en-AU"/>
        </w:rPr>
        <w:t xml:space="preserve"> The scope of this note is restricted to the assessment of the impact of faults on groundwater assets </w:t>
      </w:r>
      <w:r w:rsidR="006F4023" w:rsidRPr="006F4023">
        <w:rPr>
          <w:lang w:val="en-AU"/>
        </w:rPr>
        <w:t>because of</w:t>
      </w:r>
      <w:r w:rsidR="005B7764" w:rsidRPr="006F4023">
        <w:rPr>
          <w:lang w:val="en-AU"/>
        </w:rPr>
        <w:t xml:space="preserve"> CSG or LCM</w:t>
      </w:r>
      <w:r w:rsidR="00380F4E" w:rsidRPr="006F4023">
        <w:rPr>
          <w:lang w:val="en-AU"/>
        </w:rPr>
        <w:t xml:space="preserve"> project development. It does not extend to considering surface water or highly detailed risk assessments or the consideration of environmental consequences for groundwater assets and GDEs.</w:t>
      </w:r>
    </w:p>
    <w:p w14:paraId="2C66BB0C" w14:textId="3DD0E136" w:rsidR="00FC261A" w:rsidRPr="006F4023" w:rsidRDefault="00FC261A" w:rsidP="00632465">
      <w:pPr>
        <w:pStyle w:val="BodyText"/>
        <w:rPr>
          <w:lang w:val="en-AU"/>
        </w:rPr>
      </w:pPr>
      <w:r w:rsidRPr="006F4023">
        <w:rPr>
          <w:lang w:val="en-AU"/>
        </w:rPr>
        <w:t xml:space="preserve">Geological faults are displacements within otherwise intact rock material. The potential influence of faults on surface and groundwater systems is variable. In some cases, faults can have little to no influence on </w:t>
      </w:r>
      <w:r w:rsidR="00374BC0" w:rsidRPr="006F4023">
        <w:rPr>
          <w:lang w:val="en-AU"/>
        </w:rPr>
        <w:t>ground</w:t>
      </w:r>
      <w:r w:rsidRPr="006F4023">
        <w:rPr>
          <w:lang w:val="en-AU"/>
        </w:rPr>
        <w:t>water flow, and in other situations faults can provide a barrier</w:t>
      </w:r>
      <w:r w:rsidR="00D56B0B" w:rsidRPr="006F4023">
        <w:rPr>
          <w:lang w:val="en-AU"/>
        </w:rPr>
        <w:t xml:space="preserve">, </w:t>
      </w:r>
      <w:r w:rsidRPr="006F4023">
        <w:rPr>
          <w:lang w:val="en-AU"/>
        </w:rPr>
        <w:t xml:space="preserve">a flow pathway </w:t>
      </w:r>
      <w:r w:rsidR="00D56B0B" w:rsidRPr="006F4023">
        <w:rPr>
          <w:lang w:val="en-AU"/>
        </w:rPr>
        <w:t xml:space="preserve">or </w:t>
      </w:r>
      <w:r w:rsidR="00FA5667" w:rsidRPr="006F4023">
        <w:rPr>
          <w:lang w:val="en-AU"/>
        </w:rPr>
        <w:t>both</w:t>
      </w:r>
      <w:r w:rsidR="00D56B0B" w:rsidRPr="006F4023">
        <w:rPr>
          <w:lang w:val="en-AU"/>
        </w:rPr>
        <w:t xml:space="preserve"> </w:t>
      </w:r>
      <w:r w:rsidRPr="006F4023">
        <w:rPr>
          <w:lang w:val="en-AU"/>
        </w:rPr>
        <w:t xml:space="preserve">that results in significant changes to water assets and GDEs. </w:t>
      </w:r>
      <w:r w:rsidR="00E22D8E" w:rsidRPr="006F4023">
        <w:rPr>
          <w:lang w:val="en-AU"/>
        </w:rPr>
        <w:t xml:space="preserve">Further, </w:t>
      </w:r>
      <w:r w:rsidR="00EF0FA5" w:rsidRPr="006F4023">
        <w:rPr>
          <w:lang w:val="en-AU"/>
        </w:rPr>
        <w:t>the influence of faults can be cumulative</w:t>
      </w:r>
      <w:r w:rsidR="00E22D8E" w:rsidRPr="006F4023">
        <w:rPr>
          <w:lang w:val="en-AU"/>
        </w:rPr>
        <w:t>, for example a</w:t>
      </w:r>
      <w:r w:rsidR="00054F44" w:rsidRPr="006F4023">
        <w:rPr>
          <w:lang w:val="en-AU"/>
        </w:rPr>
        <w:t xml:space="preserve"> fault </w:t>
      </w:r>
      <w:r w:rsidR="00EF0FA5" w:rsidRPr="006F4023">
        <w:rPr>
          <w:lang w:val="en-AU"/>
        </w:rPr>
        <w:t xml:space="preserve">acting as a </w:t>
      </w:r>
      <w:r w:rsidR="00054F44" w:rsidRPr="006F4023">
        <w:rPr>
          <w:lang w:val="en-AU"/>
        </w:rPr>
        <w:t xml:space="preserve">barrier could </w:t>
      </w:r>
      <w:r w:rsidR="002F59A4" w:rsidRPr="006F4023">
        <w:rPr>
          <w:lang w:val="en-AU"/>
        </w:rPr>
        <w:t>enhance</w:t>
      </w:r>
      <w:r w:rsidR="00054F44" w:rsidRPr="006F4023">
        <w:rPr>
          <w:lang w:val="en-AU"/>
        </w:rPr>
        <w:t xml:space="preserve"> the </w:t>
      </w:r>
      <w:r w:rsidR="00B20412" w:rsidRPr="006F4023">
        <w:rPr>
          <w:lang w:val="en-AU"/>
        </w:rPr>
        <w:t>hydrogeological</w:t>
      </w:r>
      <w:r w:rsidR="00054F44" w:rsidRPr="006F4023">
        <w:rPr>
          <w:lang w:val="en-AU"/>
        </w:rPr>
        <w:t xml:space="preserve"> effects and flow</w:t>
      </w:r>
      <w:r w:rsidR="004613FC" w:rsidRPr="006F4023">
        <w:rPr>
          <w:lang w:val="en-AU"/>
        </w:rPr>
        <w:t xml:space="preserve"> </w:t>
      </w:r>
      <w:r w:rsidR="00054F44" w:rsidRPr="006F4023">
        <w:rPr>
          <w:lang w:val="en-AU"/>
        </w:rPr>
        <w:t>paths for a</w:t>
      </w:r>
      <w:r w:rsidR="00EF0FA5" w:rsidRPr="006F4023">
        <w:rPr>
          <w:lang w:val="en-AU"/>
        </w:rPr>
        <w:t xml:space="preserve">n adjacent </w:t>
      </w:r>
      <w:r w:rsidR="00054F44" w:rsidRPr="006F4023">
        <w:rPr>
          <w:lang w:val="en-AU"/>
        </w:rPr>
        <w:t>conductive fault.</w:t>
      </w:r>
    </w:p>
    <w:p w14:paraId="7C22968B" w14:textId="6DADC84C" w:rsidR="00FC261A" w:rsidRPr="006F4023" w:rsidRDefault="00FC261A" w:rsidP="00632465">
      <w:pPr>
        <w:pStyle w:val="BodyText"/>
        <w:rPr>
          <w:lang w:val="en-AU"/>
        </w:rPr>
      </w:pPr>
      <w:r w:rsidRPr="006F4023">
        <w:rPr>
          <w:lang w:val="en-AU"/>
        </w:rPr>
        <w:t>Faults may enable groundwater flow connection between mining excavations or coal seams and key water assets and GDEs</w:t>
      </w:r>
      <w:r w:rsidR="00A94643" w:rsidRPr="006F4023">
        <w:rPr>
          <w:lang w:val="en-AU"/>
        </w:rPr>
        <w:t xml:space="preserve">, and exacerbate </w:t>
      </w:r>
      <w:r w:rsidR="001818C4" w:rsidRPr="006F4023">
        <w:rPr>
          <w:lang w:val="en-AU"/>
        </w:rPr>
        <w:t>impacts related to CSG and LCM developments</w:t>
      </w:r>
      <w:r w:rsidRPr="006F4023">
        <w:rPr>
          <w:lang w:val="en-AU"/>
        </w:rPr>
        <w:t xml:space="preserve">. Changes to groundwater pressures that occur during mining or extraction can also activate flow along pathways that were not active prior to coal projects. Faults are not perfectly planar or linear, and fault behaviour may vary spatially </w:t>
      </w:r>
      <w:r w:rsidR="00374BC0" w:rsidRPr="006F4023">
        <w:rPr>
          <w:lang w:val="en-AU"/>
        </w:rPr>
        <w:t xml:space="preserve">along the fault </w:t>
      </w:r>
      <w:r w:rsidRPr="006F4023">
        <w:rPr>
          <w:lang w:val="en-AU"/>
        </w:rPr>
        <w:t xml:space="preserve">and could change during a coal development project. </w:t>
      </w:r>
      <w:r w:rsidR="001818C4" w:rsidRPr="006F4023">
        <w:rPr>
          <w:lang w:val="en-AU"/>
        </w:rPr>
        <w:t>Depending on the disposition of the fault relative to the groundwater flow system, t</w:t>
      </w:r>
      <w:r w:rsidRPr="006F4023">
        <w:rPr>
          <w:lang w:val="en-AU"/>
        </w:rPr>
        <w:t xml:space="preserve">he same fault may form a fluid flow barrier in some </w:t>
      </w:r>
      <w:r w:rsidR="00FC0804" w:rsidRPr="006F4023">
        <w:rPr>
          <w:lang w:val="en-AU"/>
        </w:rPr>
        <w:t xml:space="preserve">locations </w:t>
      </w:r>
      <w:r w:rsidRPr="006F4023">
        <w:rPr>
          <w:lang w:val="en-AU"/>
        </w:rPr>
        <w:t xml:space="preserve">along its </w:t>
      </w:r>
      <w:r w:rsidR="00374BC0" w:rsidRPr="006F4023">
        <w:rPr>
          <w:lang w:val="en-AU"/>
        </w:rPr>
        <w:t>length</w:t>
      </w:r>
      <w:r w:rsidRPr="006F4023">
        <w:rPr>
          <w:lang w:val="en-AU"/>
        </w:rPr>
        <w:t xml:space="preserve"> while enabling or enhancing flow at other </w:t>
      </w:r>
      <w:r w:rsidR="00FC0804" w:rsidRPr="006F4023">
        <w:rPr>
          <w:lang w:val="en-AU"/>
        </w:rPr>
        <w:t>locations</w:t>
      </w:r>
      <w:r w:rsidRPr="006F4023">
        <w:rPr>
          <w:lang w:val="en-AU"/>
        </w:rPr>
        <w:t>.</w:t>
      </w:r>
    </w:p>
    <w:p w14:paraId="55F654DF" w14:textId="7DE6BFA9" w:rsidR="00FC261A" w:rsidRPr="006F4023" w:rsidRDefault="00FC261A" w:rsidP="00632465">
      <w:pPr>
        <w:pStyle w:val="BodyText"/>
        <w:rPr>
          <w:lang w:val="en-AU"/>
        </w:rPr>
      </w:pPr>
      <w:r w:rsidRPr="006F4023">
        <w:rPr>
          <w:lang w:val="en-AU"/>
        </w:rPr>
        <w:t xml:space="preserve">Predicting the range of possible groundwater behaviours during and after a coal development therefore requires the identification and characterisation of faults </w:t>
      </w:r>
      <w:proofErr w:type="gramStart"/>
      <w:r w:rsidRPr="006F4023">
        <w:rPr>
          <w:lang w:val="en-AU"/>
        </w:rPr>
        <w:t>in the area of</w:t>
      </w:r>
      <w:proofErr w:type="gramEnd"/>
      <w:r w:rsidRPr="006F4023">
        <w:rPr>
          <w:lang w:val="en-AU"/>
        </w:rPr>
        <w:t xml:space="preserve"> study, or, alternatively, consideration of evidence that faults are absent or cannot have a significant influence on groundwater systems. It is important to consider faults</w:t>
      </w:r>
      <w:r w:rsidR="00FC0804" w:rsidRPr="006F4023">
        <w:rPr>
          <w:lang w:val="en-AU"/>
        </w:rPr>
        <w:t>, and extraction induced subsidence and fracturing,</w:t>
      </w:r>
      <w:r w:rsidRPr="006F4023">
        <w:rPr>
          <w:lang w:val="en-AU"/>
        </w:rPr>
        <w:t xml:space="preserve"> in the context of a risk assessment approach that evaluates the likelihood and consequences of potential impacts. Environmental studies for CSG and LCM developments should specifically assess the likelihood </w:t>
      </w:r>
      <w:r w:rsidR="000C5922" w:rsidRPr="006F4023">
        <w:rPr>
          <w:lang w:val="en-AU"/>
        </w:rPr>
        <w:t>that</w:t>
      </w:r>
      <w:r w:rsidRPr="006F4023">
        <w:rPr>
          <w:lang w:val="en-AU"/>
        </w:rPr>
        <w:t xml:space="preserve"> faults could be a barrier or flow pathway</w:t>
      </w:r>
      <w:r w:rsidR="00887587" w:rsidRPr="006F4023">
        <w:rPr>
          <w:lang w:val="en-AU"/>
        </w:rPr>
        <w:t>, or both</w:t>
      </w:r>
      <w:r w:rsidRPr="006F4023">
        <w:rPr>
          <w:lang w:val="en-AU"/>
        </w:rPr>
        <w:t>, and account for this likelihood in any assessment of the potential consequences a development may have on groundwater assets and GDEs.</w:t>
      </w:r>
      <w:r w:rsidR="00FC0804" w:rsidRPr="006F4023">
        <w:rPr>
          <w:lang w:val="en-AU"/>
        </w:rPr>
        <w:t xml:space="preserve"> This risk assessment informs management of water resources as well as their conservation and can also inform mining guidelines to minimise or mitigate impact.</w:t>
      </w:r>
    </w:p>
    <w:p w14:paraId="6622CAF2" w14:textId="41294C76" w:rsidR="00FC261A" w:rsidRPr="006F4023" w:rsidRDefault="00FC261A" w:rsidP="00632465">
      <w:pPr>
        <w:pStyle w:val="BodyText"/>
        <w:rPr>
          <w:lang w:val="en-AU"/>
        </w:rPr>
      </w:pPr>
      <w:r w:rsidRPr="006F4023">
        <w:rPr>
          <w:lang w:val="en-AU"/>
        </w:rPr>
        <w:t xml:space="preserve">For any proposal, there will be a </w:t>
      </w:r>
      <w:r w:rsidR="00B86B23" w:rsidRPr="006F4023">
        <w:rPr>
          <w:lang w:val="en-AU"/>
        </w:rPr>
        <w:t xml:space="preserve">mix </w:t>
      </w:r>
      <w:r w:rsidRPr="006F4023">
        <w:rPr>
          <w:lang w:val="en-AU"/>
        </w:rPr>
        <w:t xml:space="preserve">of pre-existing, public domain data and private or confidential data which should be considered as part of the risk assessment. </w:t>
      </w:r>
      <w:r w:rsidR="00FC0804" w:rsidRPr="006F4023">
        <w:rPr>
          <w:lang w:val="en-AU"/>
        </w:rPr>
        <w:t xml:space="preserve">Faults and the propensity for fracture development and propagation during coal or gas extraction are also geotechnical issues, so information can serve multiple purposes. </w:t>
      </w:r>
      <w:r w:rsidRPr="006F4023">
        <w:rPr>
          <w:lang w:val="en-AU"/>
        </w:rPr>
        <w:t>It is recommended that proponents outline all data used in the study</w:t>
      </w:r>
      <w:r w:rsidR="003D417E" w:rsidRPr="006F4023">
        <w:rPr>
          <w:lang w:val="en-AU"/>
        </w:rPr>
        <w:t>;</w:t>
      </w:r>
      <w:r w:rsidRPr="006F4023">
        <w:rPr>
          <w:lang w:val="en-AU"/>
        </w:rPr>
        <w:t xml:space="preserve"> summarise any proprietary data available</w:t>
      </w:r>
      <w:r w:rsidR="00F2384C" w:rsidRPr="006F4023">
        <w:rPr>
          <w:lang w:val="en-AU"/>
        </w:rPr>
        <w:t>;</w:t>
      </w:r>
      <w:r w:rsidRPr="006F4023">
        <w:rPr>
          <w:lang w:val="en-AU"/>
        </w:rPr>
        <w:t xml:space="preserve"> and describe a plan for the collection of new data that could be required to </w:t>
      </w:r>
      <w:r w:rsidR="001402EC" w:rsidRPr="006F4023">
        <w:rPr>
          <w:lang w:val="en-AU"/>
        </w:rPr>
        <w:t>minimise</w:t>
      </w:r>
      <w:r w:rsidRPr="006F4023">
        <w:rPr>
          <w:lang w:val="en-AU"/>
        </w:rPr>
        <w:t xml:space="preserve"> uncertainty. A list and discussion of potentially important data types is thus recommended, considering that each project site and conditions will be unique. A partial list of useful data </w:t>
      </w:r>
      <w:r w:rsidR="00EF0FA5" w:rsidRPr="006F4023">
        <w:rPr>
          <w:lang w:val="en-AU"/>
        </w:rPr>
        <w:t xml:space="preserve">for structural </w:t>
      </w:r>
      <w:r w:rsidR="00503D49" w:rsidRPr="006F4023">
        <w:rPr>
          <w:lang w:val="en-AU"/>
        </w:rPr>
        <w:t xml:space="preserve">analysis and </w:t>
      </w:r>
      <w:r w:rsidR="00EF0FA5" w:rsidRPr="006F4023">
        <w:rPr>
          <w:lang w:val="en-AU"/>
        </w:rPr>
        <w:t xml:space="preserve">interpretation </w:t>
      </w:r>
      <w:r w:rsidRPr="006F4023">
        <w:rPr>
          <w:lang w:val="en-AU"/>
        </w:rPr>
        <w:t>might include:</w:t>
      </w:r>
    </w:p>
    <w:p w14:paraId="5FD0A13F" w14:textId="01FABEE7" w:rsidR="00FC261A" w:rsidRPr="006F4023" w:rsidRDefault="00F2384C" w:rsidP="00C51958">
      <w:pPr>
        <w:pStyle w:val="06DOTPOINTS"/>
        <w:numPr>
          <w:ilvl w:val="0"/>
          <w:numId w:val="6"/>
        </w:numPr>
        <w:spacing w:line="240" w:lineRule="auto"/>
        <w:rPr>
          <w:rFonts w:ascii="Garamond" w:hAnsi="Garamond"/>
        </w:rPr>
      </w:pPr>
      <w:r w:rsidRPr="006F4023">
        <w:rPr>
          <w:rFonts w:ascii="Garamond" w:hAnsi="Garamond"/>
        </w:rPr>
        <w:t>a</w:t>
      </w:r>
      <w:r w:rsidR="00FC261A" w:rsidRPr="006F4023">
        <w:rPr>
          <w:rFonts w:ascii="Garamond" w:hAnsi="Garamond"/>
        </w:rPr>
        <w:t xml:space="preserve"> geological summary of </w:t>
      </w:r>
      <w:r w:rsidR="00EF0FA5" w:rsidRPr="006F4023">
        <w:rPr>
          <w:rFonts w:ascii="Garamond" w:hAnsi="Garamond"/>
        </w:rPr>
        <w:t xml:space="preserve">known </w:t>
      </w:r>
      <w:r w:rsidR="00FC261A" w:rsidRPr="006F4023">
        <w:rPr>
          <w:rFonts w:ascii="Garamond" w:hAnsi="Garamond"/>
        </w:rPr>
        <w:t>faults</w:t>
      </w:r>
      <w:r w:rsidR="00A87096" w:rsidRPr="006F4023">
        <w:rPr>
          <w:rFonts w:ascii="Garamond" w:hAnsi="Garamond"/>
        </w:rPr>
        <w:t xml:space="preserve"> annotated by their nature, scale and which strata they displace</w:t>
      </w:r>
      <w:r w:rsidR="00FC261A" w:rsidRPr="006F4023">
        <w:rPr>
          <w:rFonts w:ascii="Garamond" w:hAnsi="Garamond"/>
        </w:rPr>
        <w:t xml:space="preserve">, </w:t>
      </w:r>
      <w:r w:rsidR="00A87096" w:rsidRPr="006F4023">
        <w:rPr>
          <w:rFonts w:ascii="Garamond" w:hAnsi="Garamond"/>
        </w:rPr>
        <w:t xml:space="preserve">the lithology and lateral continuity of </w:t>
      </w:r>
      <w:r w:rsidR="00FC261A" w:rsidRPr="006F4023">
        <w:rPr>
          <w:rFonts w:ascii="Garamond" w:hAnsi="Garamond"/>
        </w:rPr>
        <w:t xml:space="preserve">aquitards and aquifers, </w:t>
      </w:r>
      <w:r w:rsidR="00A87096" w:rsidRPr="006F4023">
        <w:rPr>
          <w:rFonts w:ascii="Garamond" w:hAnsi="Garamond"/>
        </w:rPr>
        <w:t xml:space="preserve">and their stratigraphic </w:t>
      </w:r>
      <w:proofErr w:type="gramStart"/>
      <w:r w:rsidR="00A87096" w:rsidRPr="006F4023">
        <w:rPr>
          <w:rFonts w:ascii="Garamond" w:hAnsi="Garamond"/>
        </w:rPr>
        <w:t>order</w:t>
      </w:r>
      <w:r w:rsidRPr="006F4023">
        <w:rPr>
          <w:rFonts w:ascii="Garamond" w:hAnsi="Garamond"/>
        </w:rPr>
        <w:t>;</w:t>
      </w:r>
      <w:proofErr w:type="gramEnd"/>
    </w:p>
    <w:p w14:paraId="61C6C6FA" w14:textId="0B7A469D" w:rsidR="00FC261A" w:rsidRPr="006F4023" w:rsidRDefault="00A87096" w:rsidP="00C51958">
      <w:pPr>
        <w:pStyle w:val="06DOTPOINTS"/>
        <w:numPr>
          <w:ilvl w:val="0"/>
          <w:numId w:val="6"/>
        </w:numPr>
        <w:spacing w:line="240" w:lineRule="auto"/>
        <w:rPr>
          <w:rFonts w:ascii="Garamond" w:hAnsi="Garamond"/>
        </w:rPr>
      </w:pPr>
      <w:r w:rsidRPr="006F4023">
        <w:rPr>
          <w:rFonts w:ascii="Garamond" w:hAnsi="Garamond"/>
        </w:rPr>
        <w:t xml:space="preserve">contextual </w:t>
      </w:r>
      <w:r w:rsidR="00F2384C" w:rsidRPr="006F4023">
        <w:rPr>
          <w:rFonts w:ascii="Garamond" w:hAnsi="Garamond"/>
        </w:rPr>
        <w:t>r</w:t>
      </w:r>
      <w:r w:rsidR="00FC261A" w:rsidRPr="006F4023">
        <w:rPr>
          <w:rFonts w:ascii="Garamond" w:hAnsi="Garamond"/>
        </w:rPr>
        <w:t xml:space="preserve">egional-scale geological </w:t>
      </w:r>
      <w:r w:rsidRPr="006F4023">
        <w:rPr>
          <w:rFonts w:ascii="Garamond" w:hAnsi="Garamond"/>
        </w:rPr>
        <w:t xml:space="preserve">outcrop and subsurface </w:t>
      </w:r>
      <w:r w:rsidR="00FC261A" w:rsidRPr="006F4023">
        <w:rPr>
          <w:rFonts w:ascii="Garamond" w:hAnsi="Garamond"/>
        </w:rPr>
        <w:t>mappin</w:t>
      </w:r>
      <w:r w:rsidRPr="006F4023">
        <w:rPr>
          <w:rFonts w:ascii="Garamond" w:hAnsi="Garamond"/>
        </w:rPr>
        <w:t xml:space="preserve">g and underlying </w:t>
      </w:r>
      <w:r w:rsidR="00FC261A" w:rsidRPr="006F4023">
        <w:rPr>
          <w:rFonts w:ascii="Garamond" w:hAnsi="Garamond"/>
        </w:rPr>
        <w:t>public domain data</w:t>
      </w:r>
      <w:r w:rsidRPr="006F4023">
        <w:rPr>
          <w:rFonts w:ascii="Garamond" w:hAnsi="Garamond"/>
        </w:rPr>
        <w:t xml:space="preserve"> used for </w:t>
      </w:r>
      <w:proofErr w:type="gramStart"/>
      <w:r w:rsidRPr="006F4023">
        <w:rPr>
          <w:rFonts w:ascii="Garamond" w:hAnsi="Garamond"/>
        </w:rPr>
        <w:t>interpretation</w:t>
      </w:r>
      <w:r w:rsidR="00F2384C" w:rsidRPr="006F4023">
        <w:rPr>
          <w:rFonts w:ascii="Garamond" w:hAnsi="Garamond"/>
        </w:rPr>
        <w:t>;</w:t>
      </w:r>
      <w:proofErr w:type="gramEnd"/>
    </w:p>
    <w:p w14:paraId="21CC3D8A" w14:textId="26E50058" w:rsidR="00FC261A" w:rsidRPr="006F4023" w:rsidRDefault="00A87096" w:rsidP="00C51958">
      <w:pPr>
        <w:pStyle w:val="06DOTPOINTS"/>
        <w:numPr>
          <w:ilvl w:val="0"/>
          <w:numId w:val="6"/>
        </w:numPr>
        <w:spacing w:line="240" w:lineRule="auto"/>
        <w:rPr>
          <w:rFonts w:ascii="Garamond" w:hAnsi="Garamond"/>
        </w:rPr>
      </w:pPr>
      <w:r w:rsidRPr="006F4023">
        <w:rPr>
          <w:rFonts w:ascii="Garamond" w:hAnsi="Garamond"/>
        </w:rPr>
        <w:t xml:space="preserve">Digital Terrain Models (DTM) from </w:t>
      </w:r>
      <w:r w:rsidR="00F2384C" w:rsidRPr="006F4023">
        <w:rPr>
          <w:rFonts w:ascii="Garamond" w:hAnsi="Garamond"/>
        </w:rPr>
        <w:t>a</w:t>
      </w:r>
      <w:r w:rsidR="00FC261A" w:rsidRPr="006F4023">
        <w:rPr>
          <w:rFonts w:ascii="Garamond" w:hAnsi="Garamond"/>
        </w:rPr>
        <w:t xml:space="preserve">erial photography, topography and </w:t>
      </w:r>
      <w:proofErr w:type="gramStart"/>
      <w:r w:rsidR="00FC261A" w:rsidRPr="006F4023">
        <w:rPr>
          <w:rFonts w:ascii="Garamond" w:hAnsi="Garamond"/>
        </w:rPr>
        <w:t>LIDAR</w:t>
      </w:r>
      <w:r w:rsidR="00F2384C" w:rsidRPr="006F4023">
        <w:rPr>
          <w:rFonts w:ascii="Garamond" w:hAnsi="Garamond"/>
        </w:rPr>
        <w:t>;</w:t>
      </w:r>
      <w:proofErr w:type="gramEnd"/>
    </w:p>
    <w:p w14:paraId="33618D02" w14:textId="2139367D" w:rsidR="00FC261A" w:rsidRPr="006F4023" w:rsidRDefault="00A87096" w:rsidP="00C51958">
      <w:pPr>
        <w:pStyle w:val="06DOTPOINTS"/>
        <w:numPr>
          <w:ilvl w:val="0"/>
          <w:numId w:val="6"/>
        </w:numPr>
        <w:spacing w:line="240" w:lineRule="auto"/>
        <w:rPr>
          <w:rFonts w:ascii="Garamond" w:hAnsi="Garamond"/>
        </w:rPr>
      </w:pPr>
      <w:r w:rsidRPr="006F4023">
        <w:rPr>
          <w:rFonts w:ascii="Garamond" w:hAnsi="Garamond"/>
        </w:rPr>
        <w:t>regional to mine</w:t>
      </w:r>
      <w:r w:rsidR="006F4023">
        <w:rPr>
          <w:rFonts w:ascii="Garamond" w:hAnsi="Garamond"/>
        </w:rPr>
        <w:t xml:space="preserve"> </w:t>
      </w:r>
      <w:r w:rsidRPr="0038473D">
        <w:rPr>
          <w:rFonts w:ascii="Garamond" w:hAnsi="Garamond"/>
        </w:rPr>
        <w:t xml:space="preserve">scale </w:t>
      </w:r>
      <w:r w:rsidR="00E27696" w:rsidRPr="0038473D">
        <w:rPr>
          <w:rFonts w:ascii="Garamond" w:hAnsi="Garamond"/>
        </w:rPr>
        <w:t>geophysical surveys (</w:t>
      </w:r>
      <w:proofErr w:type="gramStart"/>
      <w:r w:rsidR="00E27696" w:rsidRPr="0038473D">
        <w:rPr>
          <w:rFonts w:ascii="Garamond" w:hAnsi="Garamond"/>
        </w:rPr>
        <w:t>e.g.</w:t>
      </w:r>
      <w:proofErr w:type="gramEnd"/>
      <w:r w:rsidR="00E27696" w:rsidRPr="0038473D">
        <w:rPr>
          <w:rFonts w:ascii="Garamond" w:hAnsi="Garamond"/>
        </w:rPr>
        <w:t xml:space="preserve"> ground o</w:t>
      </w:r>
      <w:r w:rsidR="00E27696" w:rsidRPr="006F4023">
        <w:rPr>
          <w:rFonts w:ascii="Garamond" w:hAnsi="Garamond"/>
        </w:rPr>
        <w:t>r airborne magnetics, electromagnetics, gravity, electrical resistivity tomography)</w:t>
      </w:r>
    </w:p>
    <w:p w14:paraId="2A45C2FC" w14:textId="77777777" w:rsidR="00E27696" w:rsidRPr="006F4023" w:rsidRDefault="00E27696" w:rsidP="00E27696">
      <w:pPr>
        <w:pStyle w:val="06DOTPOINTS"/>
        <w:numPr>
          <w:ilvl w:val="0"/>
          <w:numId w:val="6"/>
        </w:numPr>
        <w:spacing w:line="240" w:lineRule="auto"/>
        <w:rPr>
          <w:rFonts w:ascii="Garamond" w:hAnsi="Garamond"/>
        </w:rPr>
      </w:pPr>
      <w:r w:rsidRPr="006F4023">
        <w:rPr>
          <w:rFonts w:ascii="Garamond" w:hAnsi="Garamond"/>
        </w:rPr>
        <w:t xml:space="preserve">seismic </w:t>
      </w:r>
      <w:proofErr w:type="gramStart"/>
      <w:r w:rsidRPr="006F4023">
        <w:rPr>
          <w:rFonts w:ascii="Garamond" w:hAnsi="Garamond"/>
        </w:rPr>
        <w:t>surveys;</w:t>
      </w:r>
      <w:proofErr w:type="gramEnd"/>
    </w:p>
    <w:p w14:paraId="406B5035" w14:textId="77777777" w:rsidR="00FC261A" w:rsidRPr="006F4023" w:rsidRDefault="00F2384C" w:rsidP="00C51958">
      <w:pPr>
        <w:pStyle w:val="06DOTPOINTS"/>
        <w:numPr>
          <w:ilvl w:val="0"/>
          <w:numId w:val="6"/>
        </w:numPr>
        <w:spacing w:line="240" w:lineRule="auto"/>
        <w:rPr>
          <w:rFonts w:ascii="Garamond" w:hAnsi="Garamond"/>
        </w:rPr>
      </w:pPr>
      <w:r w:rsidRPr="006F4023">
        <w:rPr>
          <w:rFonts w:ascii="Garamond" w:hAnsi="Garamond"/>
        </w:rPr>
        <w:lastRenderedPageBreak/>
        <w:t>p</w:t>
      </w:r>
      <w:r w:rsidR="00FC261A" w:rsidRPr="006F4023">
        <w:rPr>
          <w:rFonts w:ascii="Garamond" w:hAnsi="Garamond"/>
        </w:rPr>
        <w:t xml:space="preserve">it and underground </w:t>
      </w:r>
      <w:proofErr w:type="gramStart"/>
      <w:r w:rsidR="00FC261A" w:rsidRPr="006F4023">
        <w:rPr>
          <w:rFonts w:ascii="Garamond" w:hAnsi="Garamond"/>
        </w:rPr>
        <w:t>mapping</w:t>
      </w:r>
      <w:r w:rsidRPr="006F4023">
        <w:rPr>
          <w:rFonts w:ascii="Garamond" w:hAnsi="Garamond"/>
        </w:rPr>
        <w:t>;</w:t>
      </w:r>
      <w:proofErr w:type="gramEnd"/>
    </w:p>
    <w:p w14:paraId="675627DD" w14:textId="77777777" w:rsidR="00FC261A" w:rsidRPr="006F4023" w:rsidRDefault="00F2384C" w:rsidP="00C51958">
      <w:pPr>
        <w:pStyle w:val="06DOTPOINTS"/>
        <w:numPr>
          <w:ilvl w:val="0"/>
          <w:numId w:val="6"/>
        </w:numPr>
        <w:spacing w:line="240" w:lineRule="auto"/>
        <w:rPr>
          <w:rFonts w:ascii="Garamond" w:hAnsi="Garamond"/>
        </w:rPr>
      </w:pPr>
      <w:r w:rsidRPr="006F4023">
        <w:rPr>
          <w:rFonts w:ascii="Garamond" w:hAnsi="Garamond"/>
        </w:rPr>
        <w:t>h</w:t>
      </w:r>
      <w:r w:rsidR="00FC261A" w:rsidRPr="006F4023">
        <w:rPr>
          <w:rFonts w:ascii="Garamond" w:hAnsi="Garamond"/>
        </w:rPr>
        <w:t>ydrogeological tests and groundwater level observations</w:t>
      </w:r>
      <w:r w:rsidRPr="006F4023">
        <w:rPr>
          <w:rFonts w:ascii="Garamond" w:hAnsi="Garamond"/>
        </w:rPr>
        <w:t>; and</w:t>
      </w:r>
    </w:p>
    <w:p w14:paraId="6F44346E" w14:textId="76C39C22" w:rsidR="00FC261A" w:rsidRPr="006F4023" w:rsidRDefault="00C8595A" w:rsidP="00C51958">
      <w:pPr>
        <w:pStyle w:val="06DOTPOINTS"/>
        <w:numPr>
          <w:ilvl w:val="0"/>
          <w:numId w:val="6"/>
        </w:numPr>
        <w:spacing w:line="240" w:lineRule="auto"/>
        <w:rPr>
          <w:rFonts w:ascii="Garamond" w:hAnsi="Garamond"/>
        </w:rPr>
      </w:pPr>
      <w:r w:rsidRPr="006F4023">
        <w:rPr>
          <w:rFonts w:ascii="Garamond" w:hAnsi="Garamond"/>
        </w:rPr>
        <w:t xml:space="preserve">tracer studies, including </w:t>
      </w:r>
      <w:r w:rsidR="00F2384C" w:rsidRPr="006F4023">
        <w:rPr>
          <w:rFonts w:ascii="Garamond" w:hAnsi="Garamond"/>
        </w:rPr>
        <w:t>w</w:t>
      </w:r>
      <w:r w:rsidR="00FC261A" w:rsidRPr="006F4023">
        <w:rPr>
          <w:rFonts w:ascii="Garamond" w:hAnsi="Garamond"/>
        </w:rPr>
        <w:t>ater chemistry</w:t>
      </w:r>
      <w:r w:rsidR="00E27696" w:rsidRPr="006F4023">
        <w:rPr>
          <w:rFonts w:ascii="Garamond" w:hAnsi="Garamond"/>
        </w:rPr>
        <w:t xml:space="preserve"> and </w:t>
      </w:r>
      <w:proofErr w:type="gramStart"/>
      <w:r w:rsidR="00E27696" w:rsidRPr="006F4023">
        <w:rPr>
          <w:rFonts w:ascii="Garamond" w:hAnsi="Garamond"/>
        </w:rPr>
        <w:t>time based</w:t>
      </w:r>
      <w:proofErr w:type="gramEnd"/>
      <w:r w:rsidR="00E27696" w:rsidRPr="006F4023">
        <w:rPr>
          <w:rFonts w:ascii="Garamond" w:hAnsi="Garamond"/>
        </w:rPr>
        <w:t xml:space="preserve"> geophysical surveys</w:t>
      </w:r>
      <w:r w:rsidR="00FC261A" w:rsidRPr="006F4023">
        <w:rPr>
          <w:rFonts w:ascii="Garamond" w:hAnsi="Garamond"/>
        </w:rPr>
        <w:t>.</w:t>
      </w:r>
    </w:p>
    <w:p w14:paraId="269C566D" w14:textId="2CD8BA83" w:rsidR="00FC261A" w:rsidRPr="006F4023" w:rsidRDefault="00FC261A" w:rsidP="00BF6984">
      <w:pPr>
        <w:pStyle w:val="BodyText"/>
        <w:rPr>
          <w:lang w:val="en-AU"/>
        </w:rPr>
      </w:pPr>
      <w:r w:rsidRPr="006F4023">
        <w:rPr>
          <w:lang w:val="en-AU"/>
        </w:rPr>
        <w:t xml:space="preserve">This </w:t>
      </w:r>
      <w:r w:rsidR="000C5922" w:rsidRPr="006F4023">
        <w:rPr>
          <w:lang w:val="en-AU"/>
        </w:rPr>
        <w:t>Explanatory N</w:t>
      </w:r>
      <w:r w:rsidRPr="006F4023">
        <w:rPr>
          <w:lang w:val="en-AU"/>
        </w:rPr>
        <w:t xml:space="preserve">ote </w:t>
      </w:r>
      <w:r w:rsidR="000C5922" w:rsidRPr="006F4023">
        <w:rPr>
          <w:lang w:val="en-AU"/>
        </w:rPr>
        <w:t xml:space="preserve">also </w:t>
      </w:r>
      <w:r w:rsidRPr="006F4023">
        <w:rPr>
          <w:lang w:val="en-AU"/>
        </w:rPr>
        <w:t xml:space="preserve">contains information and </w:t>
      </w:r>
      <w:r w:rsidR="00F847EF" w:rsidRPr="006F4023">
        <w:rPr>
          <w:lang w:val="en-AU"/>
        </w:rPr>
        <w:t xml:space="preserve">methods to help assess </w:t>
      </w:r>
      <w:r w:rsidRPr="006F4023">
        <w:rPr>
          <w:lang w:val="en-AU"/>
        </w:rPr>
        <w:t>the risk of a fault or faults providing a barrier or flow path</w:t>
      </w:r>
      <w:r w:rsidR="00B44B14" w:rsidRPr="006F4023">
        <w:rPr>
          <w:lang w:val="en-AU"/>
        </w:rPr>
        <w:t>, or both</w:t>
      </w:r>
      <w:r w:rsidR="00F847EF" w:rsidRPr="006F4023">
        <w:rPr>
          <w:lang w:val="en-AU"/>
        </w:rPr>
        <w:t>. A general method is summarised as:</w:t>
      </w:r>
    </w:p>
    <w:p w14:paraId="56AC4DD1" w14:textId="66ACF4B0" w:rsidR="00FC261A" w:rsidRPr="006F4023" w:rsidRDefault="00F847EF" w:rsidP="00C51958">
      <w:pPr>
        <w:pStyle w:val="06DOTPOINTS"/>
        <w:numPr>
          <w:ilvl w:val="0"/>
          <w:numId w:val="14"/>
        </w:numPr>
        <w:spacing w:line="240" w:lineRule="auto"/>
        <w:rPr>
          <w:rFonts w:ascii="Garamond" w:hAnsi="Garamond"/>
        </w:rPr>
      </w:pPr>
      <w:r w:rsidRPr="006F4023">
        <w:rPr>
          <w:rFonts w:ascii="Garamond" w:hAnsi="Garamond"/>
        </w:rPr>
        <w:t>Integration of</w:t>
      </w:r>
      <w:r w:rsidR="00905786" w:rsidRPr="006F4023">
        <w:rPr>
          <w:rFonts w:ascii="Garamond" w:hAnsi="Garamond"/>
        </w:rPr>
        <w:t xml:space="preserve"> geological and hydrogeological understanding of the geometry and distribution of faults, major rock types, stratigraphic units, and their </w:t>
      </w:r>
      <w:r w:rsidR="00B20412" w:rsidRPr="006F4023">
        <w:rPr>
          <w:rFonts w:ascii="Garamond" w:hAnsi="Garamond"/>
        </w:rPr>
        <w:t>hydrogeological</w:t>
      </w:r>
      <w:r w:rsidR="00905786" w:rsidRPr="006F4023">
        <w:rPr>
          <w:rFonts w:ascii="Garamond" w:hAnsi="Garamond"/>
        </w:rPr>
        <w:t xml:space="preserve"> characteristics.</w:t>
      </w:r>
    </w:p>
    <w:p w14:paraId="2B3229F0" w14:textId="77777777" w:rsidR="00FC261A" w:rsidRPr="006F4023" w:rsidRDefault="00FC261A" w:rsidP="00C51958">
      <w:pPr>
        <w:pStyle w:val="06DOTPOINTS"/>
        <w:numPr>
          <w:ilvl w:val="0"/>
          <w:numId w:val="14"/>
        </w:numPr>
        <w:spacing w:line="240" w:lineRule="auto"/>
        <w:rPr>
          <w:rFonts w:ascii="Garamond" w:hAnsi="Garamond"/>
        </w:rPr>
      </w:pPr>
      <w:r w:rsidRPr="006F4023">
        <w:rPr>
          <w:rFonts w:ascii="Garamond" w:hAnsi="Garamond"/>
        </w:rPr>
        <w:t>Where necessary, expand the area or depth of geological investigation to include the key groundwater assets, coal seams or excavations and nearby faults.</w:t>
      </w:r>
    </w:p>
    <w:p w14:paraId="3E7F9BF4" w14:textId="1433E379" w:rsidR="00FC261A" w:rsidRPr="006F4023" w:rsidRDefault="00FC261A" w:rsidP="00C51958">
      <w:pPr>
        <w:pStyle w:val="06DOTPOINTS"/>
        <w:numPr>
          <w:ilvl w:val="0"/>
          <w:numId w:val="14"/>
        </w:numPr>
        <w:spacing w:line="240" w:lineRule="auto"/>
        <w:rPr>
          <w:rFonts w:ascii="Garamond" w:hAnsi="Garamond"/>
        </w:rPr>
      </w:pPr>
      <w:r w:rsidRPr="006F4023">
        <w:rPr>
          <w:rFonts w:ascii="Garamond" w:hAnsi="Garamond"/>
        </w:rPr>
        <w:t>Based on geological information and hydrogeological tests and observations, estimate the properties of the aquifers and aquitards</w:t>
      </w:r>
      <w:r w:rsidR="00054F44" w:rsidRPr="006F4023">
        <w:rPr>
          <w:rFonts w:ascii="Garamond" w:hAnsi="Garamond"/>
        </w:rPr>
        <w:t xml:space="preserve">, </w:t>
      </w:r>
      <w:proofErr w:type="gramStart"/>
      <w:r w:rsidR="00054F44" w:rsidRPr="006F4023">
        <w:rPr>
          <w:rFonts w:ascii="Garamond" w:hAnsi="Garamond"/>
        </w:rPr>
        <w:t>e.g.</w:t>
      </w:r>
      <w:proofErr w:type="gramEnd"/>
      <w:r w:rsidR="00054F44" w:rsidRPr="006F4023">
        <w:rPr>
          <w:rFonts w:ascii="Garamond" w:hAnsi="Garamond"/>
        </w:rPr>
        <w:t xml:space="preserve"> vertical and horizontal hydraulic conductivity and specific yield or specific storage characteristics</w:t>
      </w:r>
      <w:r w:rsidRPr="006F4023">
        <w:rPr>
          <w:rFonts w:ascii="Garamond" w:hAnsi="Garamond"/>
        </w:rPr>
        <w:t>.</w:t>
      </w:r>
    </w:p>
    <w:p w14:paraId="408EA938" w14:textId="1FA16C6C" w:rsidR="00FC261A" w:rsidRPr="006F4023" w:rsidRDefault="00431E6F" w:rsidP="00C51958">
      <w:pPr>
        <w:pStyle w:val="06DOTPOINTS"/>
        <w:numPr>
          <w:ilvl w:val="0"/>
          <w:numId w:val="14"/>
        </w:numPr>
        <w:spacing w:line="240" w:lineRule="auto"/>
        <w:rPr>
          <w:rFonts w:ascii="Garamond" w:hAnsi="Garamond"/>
        </w:rPr>
      </w:pPr>
      <w:r w:rsidRPr="006F4023">
        <w:rPr>
          <w:rFonts w:ascii="Garamond" w:hAnsi="Garamond"/>
        </w:rPr>
        <w:t xml:space="preserve">Conceptualise </w:t>
      </w:r>
      <w:r w:rsidR="00011BB4" w:rsidRPr="006F4023">
        <w:rPr>
          <w:rFonts w:ascii="Garamond" w:hAnsi="Garamond"/>
        </w:rPr>
        <w:t xml:space="preserve">how known faults may currently be influencing groundwater flow and connectivity to environmental assets and the </w:t>
      </w:r>
      <w:r w:rsidR="00B44B14" w:rsidRPr="006F4023">
        <w:rPr>
          <w:rFonts w:ascii="Garamond" w:hAnsi="Garamond"/>
        </w:rPr>
        <w:t xml:space="preserve">plausibility of </w:t>
      </w:r>
      <w:r w:rsidR="00011BB4" w:rsidRPr="006F4023">
        <w:rPr>
          <w:rFonts w:ascii="Garamond" w:hAnsi="Garamond"/>
        </w:rPr>
        <w:t xml:space="preserve">this changing due to a </w:t>
      </w:r>
      <w:r w:rsidRPr="006F4023">
        <w:rPr>
          <w:rFonts w:ascii="Garamond" w:hAnsi="Garamond"/>
        </w:rPr>
        <w:t xml:space="preserve">proposed CSG or </w:t>
      </w:r>
      <w:r w:rsidR="00011BB4" w:rsidRPr="006F4023">
        <w:rPr>
          <w:rFonts w:ascii="Garamond" w:hAnsi="Garamond"/>
        </w:rPr>
        <w:t xml:space="preserve">LCM development. This may include </w:t>
      </w:r>
      <w:r w:rsidR="00FC261A" w:rsidRPr="006F4023">
        <w:rPr>
          <w:rFonts w:ascii="Garamond" w:hAnsi="Garamond"/>
        </w:rPr>
        <w:t>faults connect</w:t>
      </w:r>
      <w:r w:rsidR="002530C2" w:rsidRPr="006F4023">
        <w:rPr>
          <w:rFonts w:ascii="Garamond" w:hAnsi="Garamond"/>
        </w:rPr>
        <w:t>ing</w:t>
      </w:r>
      <w:r w:rsidR="00FC261A" w:rsidRPr="006F4023">
        <w:rPr>
          <w:rFonts w:ascii="Garamond" w:hAnsi="Garamond"/>
        </w:rPr>
        <w:t xml:space="preserve"> assets</w:t>
      </w:r>
      <w:r w:rsidR="003654AF" w:rsidRPr="006F4023">
        <w:rPr>
          <w:rFonts w:ascii="Garamond" w:hAnsi="Garamond"/>
        </w:rPr>
        <w:t xml:space="preserve"> to</w:t>
      </w:r>
      <w:r w:rsidR="00FC261A" w:rsidRPr="006F4023">
        <w:rPr>
          <w:rFonts w:ascii="Garamond" w:hAnsi="Garamond"/>
        </w:rPr>
        <w:t xml:space="preserve"> the coal seams or </w:t>
      </w:r>
      <w:proofErr w:type="gramStart"/>
      <w:r w:rsidR="00FC261A" w:rsidRPr="006F4023">
        <w:rPr>
          <w:rFonts w:ascii="Garamond" w:hAnsi="Garamond"/>
        </w:rPr>
        <w:t xml:space="preserve">excavations, </w:t>
      </w:r>
      <w:r w:rsidRPr="006F4023">
        <w:rPr>
          <w:rFonts w:ascii="Garamond" w:hAnsi="Garamond"/>
        </w:rPr>
        <w:t>or</w:t>
      </w:r>
      <w:proofErr w:type="gramEnd"/>
      <w:r w:rsidRPr="006F4023">
        <w:rPr>
          <w:rFonts w:ascii="Garamond" w:hAnsi="Garamond"/>
        </w:rPr>
        <w:t xml:space="preserve"> acting as barriers</w:t>
      </w:r>
      <w:r w:rsidR="00FC261A" w:rsidRPr="006F4023">
        <w:rPr>
          <w:rFonts w:ascii="Garamond" w:hAnsi="Garamond"/>
        </w:rPr>
        <w:t>.</w:t>
      </w:r>
      <w:r w:rsidR="00AD6AF5" w:rsidRPr="006F4023">
        <w:rPr>
          <w:rFonts w:ascii="Garamond" w:hAnsi="Garamond"/>
        </w:rPr>
        <w:t xml:space="preserve"> </w:t>
      </w:r>
    </w:p>
    <w:p w14:paraId="3BFEB16B" w14:textId="5D8E94DE" w:rsidR="00FC261A" w:rsidRPr="006F4023" w:rsidRDefault="00AD6AF5" w:rsidP="00C51958">
      <w:pPr>
        <w:pStyle w:val="06DOTPOINTS"/>
        <w:numPr>
          <w:ilvl w:val="0"/>
          <w:numId w:val="14"/>
        </w:numPr>
        <w:spacing w:line="240" w:lineRule="auto"/>
        <w:rPr>
          <w:rFonts w:ascii="Garamond" w:hAnsi="Garamond"/>
        </w:rPr>
      </w:pPr>
      <w:r w:rsidRPr="006F4023">
        <w:rPr>
          <w:rFonts w:ascii="Garamond" w:hAnsi="Garamond"/>
        </w:rPr>
        <w:t xml:space="preserve">Test the </w:t>
      </w:r>
      <w:r w:rsidR="003F1824" w:rsidRPr="006F4023">
        <w:rPr>
          <w:rFonts w:ascii="Garamond" w:hAnsi="Garamond"/>
        </w:rPr>
        <w:t>conceptualisation</w:t>
      </w:r>
      <w:r w:rsidRPr="006F4023">
        <w:rPr>
          <w:rFonts w:ascii="Garamond" w:hAnsi="Garamond"/>
        </w:rPr>
        <w:t xml:space="preserve"> using </w:t>
      </w:r>
      <w:proofErr w:type="gramStart"/>
      <w:r w:rsidRPr="006F4023">
        <w:rPr>
          <w:rFonts w:ascii="Garamond" w:hAnsi="Garamond"/>
        </w:rPr>
        <w:t>three dimensional</w:t>
      </w:r>
      <w:proofErr w:type="gramEnd"/>
      <w:r w:rsidRPr="006F4023">
        <w:rPr>
          <w:rFonts w:ascii="Garamond" w:hAnsi="Garamond"/>
        </w:rPr>
        <w:t xml:space="preserve"> (3D) geometry and modelling considering the </w:t>
      </w:r>
      <w:r w:rsidR="00235163" w:rsidRPr="006F4023">
        <w:rPr>
          <w:rFonts w:ascii="Garamond" w:hAnsi="Garamond"/>
        </w:rPr>
        <w:t>behaviour</w:t>
      </w:r>
      <w:r w:rsidRPr="006F4023">
        <w:rPr>
          <w:rFonts w:ascii="Garamond" w:hAnsi="Garamond"/>
        </w:rPr>
        <w:t xml:space="preserve"> of groundwater and potential pathways across or along the faults. </w:t>
      </w:r>
    </w:p>
    <w:p w14:paraId="34E93B2D" w14:textId="12CC885E" w:rsidR="00ED7758" w:rsidRPr="006F4023" w:rsidRDefault="00ED7758" w:rsidP="002530C2">
      <w:pPr>
        <w:pStyle w:val="06DOTPOINTS"/>
        <w:numPr>
          <w:ilvl w:val="0"/>
          <w:numId w:val="14"/>
        </w:numPr>
        <w:spacing w:line="240" w:lineRule="auto"/>
        <w:rPr>
          <w:rFonts w:ascii="Garamond" w:hAnsi="Garamond"/>
        </w:rPr>
      </w:pPr>
      <w:r w:rsidRPr="006F4023">
        <w:rPr>
          <w:rFonts w:ascii="Garamond" w:hAnsi="Garamond"/>
        </w:rPr>
        <w:t xml:space="preserve">Assess </w:t>
      </w:r>
      <w:r w:rsidR="00513232" w:rsidRPr="006F4023">
        <w:rPr>
          <w:rFonts w:ascii="Garamond" w:hAnsi="Garamond"/>
        </w:rPr>
        <w:t>the</w:t>
      </w:r>
      <w:r w:rsidRPr="006F4023">
        <w:rPr>
          <w:rFonts w:ascii="Garamond" w:hAnsi="Garamond"/>
        </w:rPr>
        <w:t xml:space="preserve"> risk to groundwater assets </w:t>
      </w:r>
      <w:r w:rsidR="00513232" w:rsidRPr="006F4023">
        <w:rPr>
          <w:rFonts w:ascii="Garamond" w:hAnsi="Garamond"/>
        </w:rPr>
        <w:t>through</w:t>
      </w:r>
      <w:r w:rsidRPr="006F4023">
        <w:rPr>
          <w:rFonts w:ascii="Garamond" w:hAnsi="Garamond"/>
        </w:rPr>
        <w:t xml:space="preserve"> groundwater flow modelling that incorporates representation of </w:t>
      </w:r>
      <w:r w:rsidR="00513232" w:rsidRPr="006F4023">
        <w:rPr>
          <w:rFonts w:ascii="Garamond" w:hAnsi="Garamond"/>
        </w:rPr>
        <w:t>the fault system(s)</w:t>
      </w:r>
      <w:r w:rsidRPr="006F4023">
        <w:rPr>
          <w:rFonts w:ascii="Garamond" w:hAnsi="Garamond"/>
        </w:rPr>
        <w:t xml:space="preserve">. How faults are represented and </w:t>
      </w:r>
      <w:r w:rsidR="003F1824" w:rsidRPr="006F4023">
        <w:rPr>
          <w:rFonts w:ascii="Garamond" w:hAnsi="Garamond"/>
        </w:rPr>
        <w:t>parameterised</w:t>
      </w:r>
      <w:r w:rsidRPr="006F4023">
        <w:rPr>
          <w:rFonts w:ascii="Garamond" w:hAnsi="Garamond"/>
        </w:rPr>
        <w:t xml:space="preserve"> needs careful consideration during the model design stage, and this may include some simplification of the fault systems. </w:t>
      </w:r>
      <w:r w:rsidR="003647F4" w:rsidRPr="006F4023">
        <w:rPr>
          <w:rFonts w:ascii="Garamond" w:hAnsi="Garamond"/>
        </w:rPr>
        <w:t>The modelling assessment can quantify potential changes to flow rates, groundwater levels and concentrations of chemical species that may result from a LCM or CSG development, given the presence of a fault(s).  Such modelling generally falls into the following tw</w:t>
      </w:r>
      <w:r w:rsidR="00B20412" w:rsidRPr="006F4023">
        <w:rPr>
          <w:rFonts w:ascii="Garamond" w:hAnsi="Garamond"/>
        </w:rPr>
        <w:t>o categories of general methods:</w:t>
      </w:r>
    </w:p>
    <w:p w14:paraId="1803AA0C" w14:textId="739028F5" w:rsidR="009826A7" w:rsidRPr="006F4023" w:rsidRDefault="003647F4" w:rsidP="00523649">
      <w:pPr>
        <w:pStyle w:val="06DOTPOINTS"/>
        <w:numPr>
          <w:ilvl w:val="1"/>
          <w:numId w:val="14"/>
        </w:numPr>
        <w:spacing w:line="240" w:lineRule="auto"/>
        <w:rPr>
          <w:rFonts w:ascii="Garamond" w:hAnsi="Garamond"/>
        </w:rPr>
      </w:pPr>
      <w:r w:rsidRPr="006F4023" w:rsidDel="003647F4">
        <w:rPr>
          <w:rFonts w:ascii="Garamond" w:hAnsi="Garamond"/>
        </w:rPr>
        <w:t xml:space="preserve"> </w:t>
      </w:r>
      <w:r w:rsidR="002530C2" w:rsidRPr="006F4023">
        <w:rPr>
          <w:rFonts w:ascii="Garamond" w:hAnsi="Garamond"/>
        </w:rPr>
        <w:t>‘</w:t>
      </w:r>
      <w:r w:rsidR="009826A7" w:rsidRPr="006F4023">
        <w:rPr>
          <w:rFonts w:ascii="Garamond" w:hAnsi="Garamond"/>
        </w:rPr>
        <w:t xml:space="preserve">Single continuum’ or ‘Equivalent porous medium models’, rely on </w:t>
      </w:r>
      <w:r w:rsidRPr="006F4023">
        <w:rPr>
          <w:rFonts w:ascii="Garamond" w:hAnsi="Garamond"/>
        </w:rPr>
        <w:t xml:space="preserve">approximating </w:t>
      </w:r>
      <w:r w:rsidR="009826A7" w:rsidRPr="006F4023">
        <w:rPr>
          <w:rFonts w:ascii="Garamond" w:hAnsi="Garamond"/>
        </w:rPr>
        <w:t>the properties of faults, as equivalent porous media hydraulic properties, such as permeability and porosity.  This approach can be adopted for large regional or sub-regional scale models (</w:t>
      </w:r>
      <w:proofErr w:type="gramStart"/>
      <w:r w:rsidR="009826A7" w:rsidRPr="006F4023">
        <w:rPr>
          <w:rFonts w:ascii="Garamond" w:hAnsi="Garamond"/>
        </w:rPr>
        <w:t>e.g.</w:t>
      </w:r>
      <w:proofErr w:type="gramEnd"/>
      <w:r w:rsidR="009826A7" w:rsidRPr="006F4023">
        <w:rPr>
          <w:rFonts w:ascii="Garamond" w:hAnsi="Garamond"/>
        </w:rPr>
        <w:t xml:space="preserve"> a model domain extending 10’s of km), where </w:t>
      </w:r>
      <w:r w:rsidRPr="006F4023">
        <w:rPr>
          <w:rFonts w:ascii="Garamond" w:hAnsi="Garamond"/>
        </w:rPr>
        <w:t xml:space="preserve">the investigation scale and approximation of porous media flow are appropriate </w:t>
      </w:r>
      <w:r w:rsidR="009826A7" w:rsidRPr="006F4023">
        <w:rPr>
          <w:rFonts w:ascii="Garamond" w:hAnsi="Garamond"/>
        </w:rPr>
        <w:t>(</w:t>
      </w:r>
      <w:proofErr w:type="spellStart"/>
      <w:r w:rsidR="009826A7" w:rsidRPr="006F4023">
        <w:rPr>
          <w:rFonts w:ascii="Garamond" w:hAnsi="Garamond"/>
        </w:rPr>
        <w:t>Bense</w:t>
      </w:r>
      <w:proofErr w:type="spellEnd"/>
      <w:r w:rsidR="009826A7" w:rsidRPr="006F4023">
        <w:rPr>
          <w:rFonts w:ascii="Garamond" w:hAnsi="Garamond"/>
        </w:rPr>
        <w:t xml:space="preserve"> et al., 2013).</w:t>
      </w:r>
    </w:p>
    <w:p w14:paraId="5F9F4954" w14:textId="3B259119" w:rsidR="009826A7" w:rsidRPr="006F4023" w:rsidRDefault="009826A7" w:rsidP="00523649">
      <w:pPr>
        <w:pStyle w:val="06DOTPOINTS"/>
        <w:numPr>
          <w:ilvl w:val="1"/>
          <w:numId w:val="14"/>
        </w:numPr>
        <w:spacing w:line="240" w:lineRule="auto"/>
        <w:rPr>
          <w:rFonts w:ascii="Garamond" w:hAnsi="Garamond"/>
        </w:rPr>
      </w:pPr>
      <w:r w:rsidRPr="006F4023">
        <w:rPr>
          <w:rFonts w:ascii="Garamond" w:hAnsi="Garamond"/>
        </w:rPr>
        <w:t xml:space="preserve">Dual continuum models rely on representing dual flow regimes, one through a fracture network and the other through a matrix.  One flow regime represents the rock matrix, which has a small hydraulic conductivity and a large porosity (diffuse flow regime); the other regime has a large hydraulic conductivity and small porosity to represent the higher velocity flow (conduit or pipe flow) through fractures.  Fractures may be represented explicitly in space, </w:t>
      </w:r>
      <w:proofErr w:type="gramStart"/>
      <w:r w:rsidRPr="006F4023">
        <w:rPr>
          <w:rFonts w:ascii="Garamond" w:hAnsi="Garamond"/>
        </w:rPr>
        <w:t>e.g.</w:t>
      </w:r>
      <w:proofErr w:type="gramEnd"/>
      <w:r w:rsidRPr="006F4023">
        <w:rPr>
          <w:rFonts w:ascii="Garamond" w:hAnsi="Garamond"/>
        </w:rPr>
        <w:t xml:space="preserve"> using a discrete fracture networks.  Alternatively, fractures may</w:t>
      </w:r>
      <w:r w:rsidR="005C7E48" w:rsidRPr="006F4023">
        <w:rPr>
          <w:rFonts w:ascii="Garamond" w:hAnsi="Garamond"/>
        </w:rPr>
        <w:t xml:space="preserve"> </w:t>
      </w:r>
      <w:r w:rsidRPr="006F4023">
        <w:rPr>
          <w:rFonts w:ascii="Garamond" w:hAnsi="Garamond"/>
        </w:rPr>
        <w:t>be represented implicitly using a dual porosity representation.   Where the impact predictions are sensitive to the processes occurring in the fracture and matrix flow regimes, these approach</w:t>
      </w:r>
      <w:r w:rsidR="00C33825" w:rsidRPr="006F4023">
        <w:rPr>
          <w:rFonts w:ascii="Garamond" w:hAnsi="Garamond"/>
        </w:rPr>
        <w:t>es</w:t>
      </w:r>
      <w:r w:rsidRPr="006F4023">
        <w:rPr>
          <w:rFonts w:ascii="Garamond" w:hAnsi="Garamond"/>
        </w:rPr>
        <w:t xml:space="preserve"> can be useful.</w:t>
      </w:r>
    </w:p>
    <w:p w14:paraId="68259D4B" w14:textId="67ABA701" w:rsidR="00793655" w:rsidRPr="002A7BAB" w:rsidRDefault="009C0837" w:rsidP="00C167F0">
      <w:pPr>
        <w:pStyle w:val="BodyText"/>
        <w:rPr>
          <w:lang w:val="en-AU"/>
        </w:rPr>
      </w:pPr>
      <w:bookmarkStart w:id="30" w:name="_Toc42765079"/>
      <w:r w:rsidRPr="006F4023">
        <w:rPr>
          <w:lang w:val="en-AU"/>
        </w:rPr>
        <w:t xml:space="preserve">Table 1 </w:t>
      </w:r>
      <w:r w:rsidR="00840B05" w:rsidRPr="006F4023">
        <w:rPr>
          <w:lang w:val="en-AU"/>
        </w:rPr>
        <w:t>from</w:t>
      </w:r>
      <w:r w:rsidRPr="006F4023">
        <w:rPr>
          <w:lang w:val="en-AU"/>
        </w:rPr>
        <w:t xml:space="preserve"> </w:t>
      </w:r>
      <w:r w:rsidR="00840B05" w:rsidRPr="006F4023">
        <w:rPr>
          <w:lang w:val="en-AU"/>
        </w:rPr>
        <w:t xml:space="preserve">Section 3 of </w:t>
      </w:r>
      <w:r w:rsidRPr="006F4023">
        <w:rPr>
          <w:lang w:val="en-AU"/>
        </w:rPr>
        <w:t xml:space="preserve">the report is </w:t>
      </w:r>
      <w:r w:rsidR="00840B05" w:rsidRPr="006F4023">
        <w:rPr>
          <w:lang w:val="en-AU"/>
        </w:rPr>
        <w:t xml:space="preserve">replicated </w:t>
      </w:r>
      <w:r w:rsidRPr="006F4023">
        <w:rPr>
          <w:lang w:val="en-AU"/>
        </w:rPr>
        <w:t xml:space="preserve">below. It provides a summary of high-level scenarios that illustrate differing situations and </w:t>
      </w:r>
      <w:r w:rsidR="00840B05" w:rsidRPr="006F4023">
        <w:rPr>
          <w:lang w:val="en-AU"/>
        </w:rPr>
        <w:t xml:space="preserve">degrees of </w:t>
      </w:r>
      <w:r w:rsidRPr="006F4023">
        <w:rPr>
          <w:lang w:val="en-AU"/>
        </w:rPr>
        <w:t>fault risk, from essentially no faults</w:t>
      </w:r>
      <w:r w:rsidR="00840B05" w:rsidRPr="006F4023">
        <w:rPr>
          <w:lang w:val="en-AU"/>
        </w:rPr>
        <w:t>,</w:t>
      </w:r>
      <w:r w:rsidRPr="006F4023">
        <w:rPr>
          <w:lang w:val="en-AU"/>
        </w:rPr>
        <w:t xml:space="preserve"> to faults potentially acting as causal pathways connecting coals to a groundwater asset. For this range of </w:t>
      </w:r>
      <w:r w:rsidR="00840B05" w:rsidRPr="006F4023">
        <w:rPr>
          <w:lang w:val="en-AU"/>
        </w:rPr>
        <w:t>scenarios,</w:t>
      </w:r>
      <w:r w:rsidRPr="006F4023">
        <w:rPr>
          <w:lang w:val="en-AU"/>
        </w:rPr>
        <w:t xml:space="preserve"> the table sets out features that may cause connection, analyses that a proponent may consider and suggested approaches for characterisation of uncertainty </w:t>
      </w:r>
      <w:r w:rsidR="00840B05" w:rsidRPr="006F4023">
        <w:rPr>
          <w:lang w:val="en-AU"/>
        </w:rPr>
        <w:t xml:space="preserve">and </w:t>
      </w:r>
      <w:r w:rsidRPr="006F4023">
        <w:rPr>
          <w:lang w:val="en-AU"/>
        </w:rPr>
        <w:t xml:space="preserve">risk. The table </w:t>
      </w:r>
      <w:r w:rsidR="006F79D2" w:rsidRPr="006F4023">
        <w:rPr>
          <w:lang w:val="en-AU"/>
        </w:rPr>
        <w:t>highlights</w:t>
      </w:r>
      <w:r w:rsidR="00840B05" w:rsidRPr="006F4023">
        <w:rPr>
          <w:lang w:val="en-AU"/>
        </w:rPr>
        <w:t xml:space="preserve">, at the highest level, </w:t>
      </w:r>
      <w:r w:rsidR="006F79D2" w:rsidRPr="006F4023">
        <w:rPr>
          <w:lang w:val="en-AU"/>
        </w:rPr>
        <w:t xml:space="preserve">a range of available approaches and these are described in more detail with the </w:t>
      </w:r>
      <w:r w:rsidR="00E64F24" w:rsidRPr="006F4023">
        <w:rPr>
          <w:lang w:val="en-AU"/>
        </w:rPr>
        <w:t xml:space="preserve">Explanatory Note </w:t>
      </w:r>
      <w:r w:rsidR="006F79D2" w:rsidRPr="006F4023">
        <w:rPr>
          <w:lang w:val="en-AU"/>
        </w:rPr>
        <w:t xml:space="preserve">and </w:t>
      </w:r>
      <w:r w:rsidR="00E64F24" w:rsidRPr="006F4023">
        <w:rPr>
          <w:lang w:val="en-AU"/>
        </w:rPr>
        <w:t>a</w:t>
      </w:r>
      <w:r w:rsidR="006F79D2" w:rsidRPr="006F4023">
        <w:rPr>
          <w:lang w:val="en-AU"/>
        </w:rPr>
        <w:t>ppendices.</w:t>
      </w:r>
    </w:p>
    <w:p w14:paraId="175BCA72" w14:textId="77777777" w:rsidR="00EC6144" w:rsidRPr="002A7BAB" w:rsidRDefault="00EC6144" w:rsidP="00C167F0">
      <w:pPr>
        <w:pStyle w:val="BodyText"/>
        <w:rPr>
          <w:lang w:val="en-AU"/>
        </w:rPr>
      </w:pPr>
    </w:p>
    <w:p w14:paraId="06103358" w14:textId="5F2B334C" w:rsidR="009C0837" w:rsidRPr="006F4023" w:rsidRDefault="009C0837" w:rsidP="00EC6144">
      <w:pPr>
        <w:pStyle w:val="06DOTPOINTS"/>
        <w:spacing w:line="240" w:lineRule="auto"/>
        <w:sectPr w:rsidR="009C0837" w:rsidRPr="006F4023" w:rsidSect="00C8365E">
          <w:pgSz w:w="11906" w:h="16838" w:code="9"/>
          <w:pgMar w:top="1701" w:right="1418" w:bottom="1418" w:left="1418" w:header="567" w:footer="567" w:gutter="0"/>
          <w:cols w:space="708"/>
          <w:docGrid w:linePitch="360"/>
        </w:sectPr>
      </w:pPr>
    </w:p>
    <w:p w14:paraId="5B358EE7" w14:textId="0C3DACAD" w:rsidR="00EC6144" w:rsidRDefault="00EC6144" w:rsidP="00451625">
      <w:pPr>
        <w:pStyle w:val="TABLEHEADING"/>
      </w:pPr>
      <w:r w:rsidRPr="006F4023">
        <w:rPr>
          <w:lang w:val="en-AU"/>
        </w:rPr>
        <w:lastRenderedPageBreak/>
        <w:t>Table 1: Case studies/scenarios that illustrate differing situations and fault risk character.</w:t>
      </w:r>
    </w:p>
    <w:tbl>
      <w:tblPr>
        <w:tblStyle w:val="TableGrid"/>
        <w:tblW w:w="5000" w:type="pct"/>
        <w:tblLook w:val="04A0" w:firstRow="1" w:lastRow="0" w:firstColumn="1" w:lastColumn="0" w:noHBand="0" w:noVBand="1"/>
      </w:tblPr>
      <w:tblGrid>
        <w:gridCol w:w="1812"/>
        <w:gridCol w:w="2151"/>
        <w:gridCol w:w="2554"/>
        <w:gridCol w:w="5667"/>
        <w:gridCol w:w="10180"/>
      </w:tblGrid>
      <w:tr w:rsidR="00451625" w:rsidRPr="006F4023" w14:paraId="369D2920" w14:textId="77777777" w:rsidTr="006122E5">
        <w:trPr>
          <w:trHeight w:val="558"/>
        </w:trPr>
        <w:tc>
          <w:tcPr>
            <w:tcW w:w="405" w:type="pct"/>
            <w:tcBorders>
              <w:bottom w:val="single" w:sz="4" w:space="0" w:color="auto"/>
            </w:tcBorders>
            <w:shd w:val="clear" w:color="auto" w:fill="2F5496" w:themeFill="accent1" w:themeFillShade="BF"/>
          </w:tcPr>
          <w:p w14:paraId="5635BF71" w14:textId="77777777" w:rsidR="00451625" w:rsidRPr="006F4023" w:rsidRDefault="00451625" w:rsidP="006122E5">
            <w:pPr>
              <w:pStyle w:val="TableHeaderRow"/>
              <w:rPr>
                <w:b w:val="0"/>
                <w:lang w:val="en-AU"/>
              </w:rPr>
            </w:pPr>
            <w:r w:rsidRPr="006F4023">
              <w:rPr>
                <w:b w:val="0"/>
                <w:lang w:val="en-AU"/>
              </w:rPr>
              <w:t xml:space="preserve">Case Studies </w:t>
            </w:r>
          </w:p>
        </w:tc>
        <w:tc>
          <w:tcPr>
            <w:tcW w:w="481" w:type="pct"/>
            <w:shd w:val="clear" w:color="auto" w:fill="2F5496" w:themeFill="accent1" w:themeFillShade="BF"/>
          </w:tcPr>
          <w:p w14:paraId="66FE2E96" w14:textId="77777777" w:rsidR="00451625" w:rsidRPr="006F4023" w:rsidRDefault="00451625" w:rsidP="006122E5">
            <w:pPr>
              <w:pStyle w:val="TableHeaderRow"/>
              <w:rPr>
                <w:b w:val="0"/>
                <w:lang w:val="en-AU"/>
              </w:rPr>
            </w:pPr>
            <w:r w:rsidRPr="006F4023">
              <w:rPr>
                <w:b w:val="0"/>
                <w:lang w:val="en-AU"/>
              </w:rPr>
              <w:t>Diagnostic for Scenario</w:t>
            </w:r>
          </w:p>
        </w:tc>
        <w:tc>
          <w:tcPr>
            <w:tcW w:w="571" w:type="pct"/>
            <w:shd w:val="clear" w:color="auto" w:fill="2F5496" w:themeFill="accent1" w:themeFillShade="BF"/>
          </w:tcPr>
          <w:p w14:paraId="404E16D8" w14:textId="77777777" w:rsidR="00451625" w:rsidRPr="006F4023" w:rsidRDefault="00451625" w:rsidP="006122E5">
            <w:pPr>
              <w:pStyle w:val="TableHeaderRow"/>
              <w:rPr>
                <w:b w:val="0"/>
                <w:lang w:val="en-AU"/>
              </w:rPr>
            </w:pPr>
            <w:r w:rsidRPr="006F4023">
              <w:rPr>
                <w:b w:val="0"/>
                <w:lang w:val="en-AU"/>
              </w:rPr>
              <w:t>Fault Flow Groundwater Phenomena</w:t>
            </w:r>
          </w:p>
        </w:tc>
        <w:tc>
          <w:tcPr>
            <w:tcW w:w="1267" w:type="pct"/>
            <w:shd w:val="clear" w:color="auto" w:fill="2F5496" w:themeFill="accent1" w:themeFillShade="BF"/>
          </w:tcPr>
          <w:p w14:paraId="0ECF3AF5" w14:textId="77777777" w:rsidR="00451625" w:rsidRPr="006F4023" w:rsidRDefault="00451625" w:rsidP="006122E5">
            <w:pPr>
              <w:pStyle w:val="TableHeaderRow"/>
              <w:rPr>
                <w:b w:val="0"/>
                <w:lang w:val="en-AU"/>
              </w:rPr>
            </w:pPr>
            <w:r w:rsidRPr="006F4023">
              <w:rPr>
                <w:b w:val="0"/>
                <w:lang w:val="en-AU"/>
              </w:rPr>
              <w:t>Site Based Evidence and Geological Products to Justify the Choice of this Scenario</w:t>
            </w:r>
          </w:p>
        </w:tc>
        <w:tc>
          <w:tcPr>
            <w:tcW w:w="2276" w:type="pct"/>
            <w:shd w:val="clear" w:color="auto" w:fill="2F5496" w:themeFill="accent1" w:themeFillShade="BF"/>
          </w:tcPr>
          <w:p w14:paraId="3F157E5A" w14:textId="77777777" w:rsidR="00451625" w:rsidRPr="006F4023" w:rsidRDefault="00451625" w:rsidP="006122E5">
            <w:pPr>
              <w:pStyle w:val="TableHeaderRow"/>
              <w:rPr>
                <w:b w:val="0"/>
                <w:lang w:val="en-AU"/>
              </w:rPr>
            </w:pPr>
            <w:r w:rsidRPr="006F4023">
              <w:rPr>
                <w:b w:val="0"/>
                <w:lang w:val="en-AU"/>
              </w:rPr>
              <w:t>Suggested Approaches for Characterisation of Uncertainty for Risk</w:t>
            </w:r>
          </w:p>
        </w:tc>
      </w:tr>
      <w:tr w:rsidR="00451625" w:rsidRPr="006F4023" w14:paraId="4089B59B" w14:textId="77777777" w:rsidTr="006122E5">
        <w:trPr>
          <w:trHeight w:val="888"/>
        </w:trPr>
        <w:tc>
          <w:tcPr>
            <w:tcW w:w="405" w:type="pct"/>
          </w:tcPr>
          <w:p w14:paraId="463F6FB7" w14:textId="77777777" w:rsidR="00451625" w:rsidRPr="006F4023" w:rsidRDefault="00451625" w:rsidP="006122E5">
            <w:pPr>
              <w:pStyle w:val="TableText"/>
              <w:rPr>
                <w:b/>
                <w:bCs/>
                <w:lang w:val="en-AU"/>
              </w:rPr>
            </w:pPr>
            <w:r w:rsidRPr="006F4023">
              <w:rPr>
                <w:b/>
                <w:bCs/>
                <w:lang w:val="en-AU"/>
              </w:rPr>
              <w:t>Scenario A-1 - Faults are unlikely to affect groundwater flow</w:t>
            </w:r>
          </w:p>
          <w:p w14:paraId="0AAD9713" w14:textId="77777777" w:rsidR="00451625" w:rsidRPr="006F4023" w:rsidRDefault="00451625" w:rsidP="006122E5">
            <w:pPr>
              <w:pStyle w:val="TableText"/>
              <w:rPr>
                <w:lang w:val="en-AU"/>
              </w:rPr>
            </w:pPr>
          </w:p>
        </w:tc>
        <w:tc>
          <w:tcPr>
            <w:tcW w:w="481" w:type="pct"/>
          </w:tcPr>
          <w:p w14:paraId="40897457" w14:textId="77777777" w:rsidR="00451625" w:rsidRPr="006F4023" w:rsidRDefault="00451625" w:rsidP="006122E5">
            <w:pPr>
              <w:pStyle w:val="TableText"/>
              <w:rPr>
                <w:lang w:val="en-AU"/>
              </w:rPr>
            </w:pPr>
            <w:r w:rsidRPr="006F4023">
              <w:rPr>
                <w:b/>
                <w:lang w:val="en-AU"/>
              </w:rPr>
              <w:t>There are no faults.</w:t>
            </w:r>
          </w:p>
        </w:tc>
        <w:tc>
          <w:tcPr>
            <w:tcW w:w="571" w:type="pct"/>
          </w:tcPr>
          <w:p w14:paraId="74410F89" w14:textId="77777777" w:rsidR="00451625" w:rsidRPr="006F4023" w:rsidRDefault="00451625" w:rsidP="006122E5">
            <w:pPr>
              <w:pStyle w:val="TableText"/>
              <w:numPr>
                <w:ilvl w:val="0"/>
                <w:numId w:val="7"/>
              </w:numPr>
              <w:rPr>
                <w:lang w:val="en-AU"/>
              </w:rPr>
            </w:pPr>
            <w:r w:rsidRPr="006F4023">
              <w:rPr>
                <w:lang w:val="en-AU"/>
              </w:rPr>
              <w:t xml:space="preserve">No faults and/or few faults with negligible displacement. </w:t>
            </w:r>
          </w:p>
        </w:tc>
        <w:tc>
          <w:tcPr>
            <w:tcW w:w="1267" w:type="pct"/>
          </w:tcPr>
          <w:p w14:paraId="7EFDE41D" w14:textId="77777777" w:rsidR="00451625" w:rsidRPr="006F4023" w:rsidRDefault="00451625" w:rsidP="006122E5">
            <w:pPr>
              <w:pStyle w:val="TableText"/>
              <w:numPr>
                <w:ilvl w:val="0"/>
                <w:numId w:val="7"/>
              </w:numPr>
              <w:rPr>
                <w:lang w:val="en-AU"/>
              </w:rPr>
            </w:pPr>
            <w:r w:rsidRPr="006F4023">
              <w:rPr>
                <w:lang w:val="en-AU"/>
              </w:rPr>
              <w:t>Documentation of flat lying or essentially undeformed stratigraphy.</w:t>
            </w:r>
          </w:p>
          <w:p w14:paraId="6D253BB8" w14:textId="77777777" w:rsidR="00451625" w:rsidRPr="006F4023" w:rsidRDefault="00451625" w:rsidP="006122E5">
            <w:pPr>
              <w:pStyle w:val="TableText"/>
              <w:numPr>
                <w:ilvl w:val="0"/>
                <w:numId w:val="7"/>
              </w:numPr>
              <w:rPr>
                <w:lang w:val="en-AU"/>
              </w:rPr>
            </w:pPr>
            <w:r w:rsidRPr="006F4023">
              <w:rPr>
                <w:lang w:val="en-AU"/>
              </w:rPr>
              <w:t>Present a regional geological model, as a series of cross sections parallel and perpendicular to strike, that illustrate the relative lack of faults in the region.</w:t>
            </w:r>
          </w:p>
        </w:tc>
        <w:tc>
          <w:tcPr>
            <w:tcW w:w="2276" w:type="pct"/>
          </w:tcPr>
          <w:p w14:paraId="4871068B" w14:textId="77777777" w:rsidR="00451625" w:rsidRPr="006F4023" w:rsidRDefault="00451625" w:rsidP="006122E5">
            <w:pPr>
              <w:pStyle w:val="TableText"/>
              <w:numPr>
                <w:ilvl w:val="0"/>
                <w:numId w:val="7"/>
              </w:numPr>
              <w:ind w:right="692"/>
              <w:rPr>
                <w:b/>
                <w:bCs/>
                <w:lang w:val="en-AU"/>
              </w:rPr>
            </w:pPr>
            <w:r w:rsidRPr="006F4023">
              <w:rPr>
                <w:lang w:val="en-AU"/>
              </w:rPr>
              <w:t xml:space="preserve">Assess the likelihood that faults exist that have not been observed. </w:t>
            </w:r>
          </w:p>
          <w:p w14:paraId="3314D059" w14:textId="77777777" w:rsidR="00451625" w:rsidRPr="006F4023" w:rsidRDefault="00451625" w:rsidP="006122E5">
            <w:pPr>
              <w:pStyle w:val="TableText"/>
              <w:numPr>
                <w:ilvl w:val="0"/>
                <w:numId w:val="7"/>
              </w:numPr>
              <w:rPr>
                <w:b/>
                <w:bCs/>
                <w:lang w:val="en-AU"/>
              </w:rPr>
            </w:pPr>
            <w:r w:rsidRPr="006F4023">
              <w:rPr>
                <w:lang w:val="en-AU"/>
              </w:rPr>
              <w:t>If needed, use one of the following scenarios to characterise the probability of critical repercussions of an unobserved fault on predicted flow impacts.</w:t>
            </w:r>
          </w:p>
        </w:tc>
      </w:tr>
      <w:tr w:rsidR="00451625" w:rsidRPr="006F4023" w14:paraId="4174A2D4" w14:textId="77777777" w:rsidTr="006122E5">
        <w:trPr>
          <w:trHeight w:val="3004"/>
        </w:trPr>
        <w:tc>
          <w:tcPr>
            <w:tcW w:w="405" w:type="pct"/>
          </w:tcPr>
          <w:p w14:paraId="7E08DBE3" w14:textId="77777777" w:rsidR="00451625" w:rsidRPr="006F4023" w:rsidRDefault="00451625" w:rsidP="006122E5">
            <w:pPr>
              <w:pStyle w:val="TableText"/>
              <w:rPr>
                <w:b/>
                <w:bCs/>
                <w:lang w:val="en-AU"/>
              </w:rPr>
            </w:pPr>
            <w:r w:rsidRPr="006F4023">
              <w:rPr>
                <w:b/>
                <w:bCs/>
                <w:lang w:val="en-AU"/>
              </w:rPr>
              <w:t>Scenario A-2 - Faults are unlikely to affect groundwater flow due to aquitard</w:t>
            </w:r>
          </w:p>
          <w:p w14:paraId="34E898D7" w14:textId="77777777" w:rsidR="00451625" w:rsidRPr="006F4023" w:rsidRDefault="00451625" w:rsidP="006122E5">
            <w:pPr>
              <w:pStyle w:val="TableText"/>
              <w:rPr>
                <w:lang w:val="en-AU"/>
              </w:rPr>
            </w:pPr>
          </w:p>
        </w:tc>
        <w:tc>
          <w:tcPr>
            <w:tcW w:w="481" w:type="pct"/>
          </w:tcPr>
          <w:p w14:paraId="5A3C2FDE" w14:textId="77777777" w:rsidR="00451625" w:rsidRPr="006F4023" w:rsidRDefault="00451625" w:rsidP="006122E5">
            <w:pPr>
              <w:pStyle w:val="TableText"/>
              <w:rPr>
                <w:b/>
                <w:bCs/>
                <w:lang w:val="en-AU"/>
              </w:rPr>
            </w:pPr>
            <w:r w:rsidRPr="006F4023">
              <w:rPr>
                <w:b/>
                <w:bCs/>
                <w:lang w:val="en-AU"/>
              </w:rPr>
              <w:t>There is a regional aquitard separating the groundwater asset or aquifer from the coal seam or excavation, and this aquitard is not breached by faults. No primary juxtaposition of flow units across the faults is present.</w:t>
            </w:r>
          </w:p>
        </w:tc>
        <w:tc>
          <w:tcPr>
            <w:tcW w:w="571" w:type="pct"/>
          </w:tcPr>
          <w:p w14:paraId="52054797" w14:textId="77777777" w:rsidR="00451625" w:rsidRPr="006F4023" w:rsidRDefault="00451625" w:rsidP="006122E5">
            <w:pPr>
              <w:pStyle w:val="TableText"/>
              <w:numPr>
                <w:ilvl w:val="0"/>
                <w:numId w:val="7"/>
              </w:numPr>
              <w:rPr>
                <w:lang w:val="en-AU"/>
              </w:rPr>
            </w:pPr>
            <w:r w:rsidRPr="006F4023">
              <w:rPr>
                <w:lang w:val="en-AU"/>
              </w:rPr>
              <w:t>An aquitard separates the groundwater asset from the coal seam or excavation.</w:t>
            </w:r>
          </w:p>
          <w:p w14:paraId="2F9853EF" w14:textId="77777777" w:rsidR="00451625" w:rsidRPr="006F4023" w:rsidRDefault="00451625" w:rsidP="006122E5">
            <w:pPr>
              <w:pStyle w:val="TableText"/>
              <w:numPr>
                <w:ilvl w:val="0"/>
                <w:numId w:val="7"/>
              </w:numPr>
              <w:rPr>
                <w:lang w:val="en-AU"/>
              </w:rPr>
            </w:pPr>
            <w:r w:rsidRPr="006F4023">
              <w:rPr>
                <w:lang w:val="en-AU"/>
              </w:rPr>
              <w:t>Vertical fault offset (throw) is smaller than the thickness of aquitards.</w:t>
            </w:r>
          </w:p>
          <w:p w14:paraId="01D8B6C5" w14:textId="77777777" w:rsidR="00451625" w:rsidRPr="006F4023" w:rsidRDefault="00451625" w:rsidP="006122E5">
            <w:pPr>
              <w:pStyle w:val="TableText"/>
              <w:numPr>
                <w:ilvl w:val="0"/>
                <w:numId w:val="7"/>
              </w:numPr>
              <w:rPr>
                <w:lang w:val="en-AU"/>
              </w:rPr>
            </w:pPr>
            <w:r w:rsidRPr="006F4023">
              <w:rPr>
                <w:lang w:val="en-AU"/>
              </w:rPr>
              <w:t xml:space="preserve">Faults are therefore unlikely to form vertical </w:t>
            </w:r>
            <w:r w:rsidRPr="006F4023">
              <w:rPr>
                <w:i/>
                <w:iCs/>
                <w:lang w:val="en-AU"/>
              </w:rPr>
              <w:t>Causal-Pathways</w:t>
            </w:r>
            <w:r w:rsidRPr="006F4023">
              <w:rPr>
                <w:lang w:val="en-AU"/>
              </w:rPr>
              <w:t xml:space="preserve">. </w:t>
            </w:r>
          </w:p>
        </w:tc>
        <w:tc>
          <w:tcPr>
            <w:tcW w:w="1267" w:type="pct"/>
          </w:tcPr>
          <w:p w14:paraId="71E846DB" w14:textId="77777777" w:rsidR="00451625" w:rsidRPr="006F4023" w:rsidRDefault="00451625" w:rsidP="006122E5">
            <w:pPr>
              <w:pStyle w:val="TableText"/>
              <w:numPr>
                <w:ilvl w:val="0"/>
                <w:numId w:val="9"/>
              </w:numPr>
              <w:rPr>
                <w:lang w:val="en-AU"/>
              </w:rPr>
            </w:pPr>
            <w:r w:rsidRPr="006F4023">
              <w:rPr>
                <w:lang w:val="en-AU"/>
              </w:rPr>
              <w:t>Provide geological and hydrogeological evidence for a regionally extensive valid aquitard.</w:t>
            </w:r>
          </w:p>
          <w:p w14:paraId="76F32E9A" w14:textId="77777777" w:rsidR="00451625" w:rsidRPr="006F4023" w:rsidRDefault="00451625" w:rsidP="006122E5">
            <w:pPr>
              <w:pStyle w:val="TableText"/>
              <w:numPr>
                <w:ilvl w:val="0"/>
                <w:numId w:val="9"/>
              </w:numPr>
              <w:rPr>
                <w:lang w:val="en-AU"/>
              </w:rPr>
            </w:pPr>
            <w:r w:rsidRPr="006F4023">
              <w:rPr>
                <w:lang w:val="en-AU"/>
              </w:rPr>
              <w:t xml:space="preserve">A set of regional cross sections showing faulting that is geometrically and kinematically consistent. </w:t>
            </w:r>
          </w:p>
          <w:p w14:paraId="6A4FC234" w14:textId="77777777" w:rsidR="00451625" w:rsidRPr="006F4023" w:rsidRDefault="00451625" w:rsidP="006122E5">
            <w:pPr>
              <w:pStyle w:val="TableText"/>
              <w:numPr>
                <w:ilvl w:val="0"/>
                <w:numId w:val="9"/>
              </w:numPr>
              <w:rPr>
                <w:lang w:val="en-AU"/>
              </w:rPr>
            </w:pPr>
            <w:r w:rsidRPr="006F4023">
              <w:rPr>
                <w:lang w:val="en-AU"/>
              </w:rPr>
              <w:t xml:space="preserve">A comprehensive description of the aquitard, including, if possible, a description of the depositional environment. </w:t>
            </w:r>
          </w:p>
          <w:p w14:paraId="10DA3343" w14:textId="77777777" w:rsidR="00451625" w:rsidRPr="006F4023" w:rsidRDefault="00451625" w:rsidP="006122E5">
            <w:pPr>
              <w:pStyle w:val="TableText"/>
              <w:numPr>
                <w:ilvl w:val="0"/>
                <w:numId w:val="9"/>
              </w:numPr>
              <w:rPr>
                <w:lang w:val="en-AU"/>
              </w:rPr>
            </w:pPr>
            <w:r w:rsidRPr="006F4023">
              <w:rPr>
                <w:lang w:val="en-AU"/>
              </w:rPr>
              <w:t>Fault statistics including length and throw ratios/distributions.</w:t>
            </w:r>
          </w:p>
          <w:p w14:paraId="1DED5A2C" w14:textId="77777777" w:rsidR="00451625" w:rsidRPr="006F4023" w:rsidRDefault="00451625" w:rsidP="006122E5">
            <w:pPr>
              <w:pStyle w:val="TableText"/>
              <w:numPr>
                <w:ilvl w:val="0"/>
                <w:numId w:val="9"/>
              </w:numPr>
              <w:rPr>
                <w:lang w:val="en-AU"/>
              </w:rPr>
            </w:pPr>
            <w:r w:rsidRPr="006F4023">
              <w:rPr>
                <w:lang w:val="en-AU"/>
              </w:rPr>
              <w:t>Systematic analysis of fault displacement profiles.</w:t>
            </w:r>
          </w:p>
          <w:p w14:paraId="35A912BE" w14:textId="77777777" w:rsidR="00451625" w:rsidRPr="006F4023" w:rsidRDefault="00451625" w:rsidP="006122E5">
            <w:pPr>
              <w:pStyle w:val="TableText"/>
              <w:numPr>
                <w:ilvl w:val="0"/>
                <w:numId w:val="9"/>
              </w:numPr>
              <w:rPr>
                <w:lang w:val="en-AU"/>
              </w:rPr>
            </w:pPr>
            <w:r w:rsidRPr="006F4023">
              <w:rPr>
                <w:lang w:val="en-AU"/>
              </w:rPr>
              <w:t>Structure contour maps for the top and base of the aquitard.</w:t>
            </w:r>
          </w:p>
          <w:p w14:paraId="3240C4D0" w14:textId="77777777" w:rsidR="00451625" w:rsidRPr="006F4023" w:rsidRDefault="00451625" w:rsidP="006122E5">
            <w:pPr>
              <w:pStyle w:val="TableText"/>
              <w:numPr>
                <w:ilvl w:val="0"/>
                <w:numId w:val="9"/>
              </w:numPr>
              <w:rPr>
                <w:lang w:val="en-AU"/>
              </w:rPr>
            </w:pPr>
            <w:r w:rsidRPr="006F4023">
              <w:rPr>
                <w:lang w:val="en-AU"/>
              </w:rPr>
              <w:t xml:space="preserve">Isopach map of all regional aquitards. </w:t>
            </w:r>
          </w:p>
        </w:tc>
        <w:tc>
          <w:tcPr>
            <w:tcW w:w="2276" w:type="pct"/>
          </w:tcPr>
          <w:p w14:paraId="79CB2578" w14:textId="77777777" w:rsidR="00451625" w:rsidRPr="006F4023" w:rsidRDefault="00451625" w:rsidP="006122E5">
            <w:pPr>
              <w:pStyle w:val="TableText"/>
              <w:numPr>
                <w:ilvl w:val="0"/>
                <w:numId w:val="9"/>
              </w:numPr>
              <w:rPr>
                <w:lang w:val="en-AU"/>
              </w:rPr>
            </w:pPr>
            <w:r w:rsidRPr="006F4023">
              <w:rPr>
                <w:lang w:val="en-AU"/>
              </w:rPr>
              <w:t xml:space="preserve">Risk assessment of potential aquitard breach through analysis of the likely range of fault offset relative to aquitard thickness. A range of 1D, 2D and 3D techniques can be used to assess the probability that the aquitard has, or has not, been breached. </w:t>
            </w:r>
          </w:p>
          <w:p w14:paraId="0169587F" w14:textId="77777777" w:rsidR="00451625" w:rsidRPr="006F4023" w:rsidRDefault="00451625" w:rsidP="006122E5">
            <w:pPr>
              <w:pStyle w:val="TableText"/>
              <w:numPr>
                <w:ilvl w:val="0"/>
                <w:numId w:val="9"/>
              </w:numPr>
              <w:rPr>
                <w:lang w:val="en-AU"/>
              </w:rPr>
            </w:pPr>
            <w:r w:rsidRPr="006F4023">
              <w:rPr>
                <w:lang w:val="en-AU"/>
              </w:rPr>
              <w:t>Should a significant probability of this be shown then an uncertainty analysis based on Scenario-C would be required.</w:t>
            </w:r>
          </w:p>
        </w:tc>
      </w:tr>
      <w:tr w:rsidR="00451625" w:rsidRPr="006F4023" w14:paraId="77D20F6F" w14:textId="77777777" w:rsidTr="006122E5">
        <w:trPr>
          <w:trHeight w:val="3104"/>
        </w:trPr>
        <w:tc>
          <w:tcPr>
            <w:tcW w:w="405" w:type="pct"/>
            <w:tcBorders>
              <w:bottom w:val="single" w:sz="4" w:space="0" w:color="auto"/>
            </w:tcBorders>
          </w:tcPr>
          <w:p w14:paraId="32977CAE" w14:textId="77777777" w:rsidR="00451625" w:rsidRPr="006F4023" w:rsidRDefault="00451625" w:rsidP="006122E5">
            <w:pPr>
              <w:pStyle w:val="TableText"/>
              <w:rPr>
                <w:b/>
                <w:bCs/>
                <w:lang w:val="en-AU"/>
              </w:rPr>
            </w:pPr>
            <w:r w:rsidRPr="006F4023">
              <w:rPr>
                <w:b/>
                <w:bCs/>
                <w:lang w:val="en-AU"/>
              </w:rPr>
              <w:t xml:space="preserve">Scenario B - Faults are potentially important within aquifers </w:t>
            </w:r>
          </w:p>
          <w:p w14:paraId="7896E019" w14:textId="77777777" w:rsidR="00451625" w:rsidRPr="006F4023" w:rsidRDefault="00451625" w:rsidP="006122E5">
            <w:pPr>
              <w:pStyle w:val="TableText"/>
              <w:rPr>
                <w:b/>
                <w:bCs/>
                <w:lang w:val="en-AU"/>
              </w:rPr>
            </w:pPr>
          </w:p>
        </w:tc>
        <w:tc>
          <w:tcPr>
            <w:tcW w:w="481" w:type="pct"/>
          </w:tcPr>
          <w:p w14:paraId="4F200476" w14:textId="77777777" w:rsidR="00451625" w:rsidRPr="006F4023" w:rsidRDefault="00451625" w:rsidP="006122E5">
            <w:pPr>
              <w:pStyle w:val="TableText"/>
              <w:rPr>
                <w:b/>
                <w:lang w:val="en-AU"/>
              </w:rPr>
            </w:pPr>
            <w:r w:rsidRPr="006F4023">
              <w:rPr>
                <w:b/>
                <w:lang w:val="en-AU"/>
              </w:rPr>
              <w:t xml:space="preserve">There are no regional aquitards in the development region that segregate </w:t>
            </w:r>
            <w:r w:rsidRPr="006F4023">
              <w:rPr>
                <w:b/>
                <w:bCs/>
                <w:lang w:val="en-AU"/>
              </w:rPr>
              <w:t>the groundwater asset or aquifer</w:t>
            </w:r>
            <w:r w:rsidRPr="006F4023">
              <w:rPr>
                <w:b/>
                <w:lang w:val="en-AU"/>
              </w:rPr>
              <w:t xml:space="preserve"> from the </w:t>
            </w:r>
            <w:r w:rsidRPr="006F4023">
              <w:rPr>
                <w:b/>
                <w:bCs/>
                <w:lang w:val="en-AU"/>
              </w:rPr>
              <w:t>coal seam or excavation</w:t>
            </w:r>
            <w:r w:rsidRPr="006F4023">
              <w:rPr>
                <w:b/>
                <w:lang w:val="en-AU"/>
              </w:rPr>
              <w:t>.</w:t>
            </w:r>
          </w:p>
        </w:tc>
        <w:tc>
          <w:tcPr>
            <w:tcW w:w="571" w:type="pct"/>
          </w:tcPr>
          <w:p w14:paraId="1A57F391" w14:textId="77777777" w:rsidR="00451625" w:rsidRPr="006F4023" w:rsidRDefault="00451625" w:rsidP="006122E5">
            <w:pPr>
              <w:pStyle w:val="TableText"/>
              <w:numPr>
                <w:ilvl w:val="0"/>
                <w:numId w:val="8"/>
              </w:numPr>
              <w:rPr>
                <w:b/>
                <w:bCs/>
                <w:i/>
                <w:iCs/>
                <w:lang w:val="en-AU"/>
              </w:rPr>
            </w:pPr>
            <w:r w:rsidRPr="006F4023">
              <w:rPr>
                <w:lang w:val="en-AU"/>
              </w:rPr>
              <w:t>Flow parallel to faults may be enhanced in fault damage zones that contain fractures.</w:t>
            </w:r>
          </w:p>
          <w:p w14:paraId="3B27CD34" w14:textId="77777777" w:rsidR="00451625" w:rsidRPr="006F4023" w:rsidRDefault="00451625" w:rsidP="006122E5">
            <w:pPr>
              <w:pStyle w:val="TableText"/>
              <w:numPr>
                <w:ilvl w:val="0"/>
                <w:numId w:val="8"/>
              </w:numPr>
              <w:rPr>
                <w:bCs/>
                <w:iCs/>
                <w:lang w:val="en-AU"/>
              </w:rPr>
            </w:pPr>
            <w:r w:rsidRPr="006F4023">
              <w:rPr>
                <w:bCs/>
                <w:iCs/>
                <w:lang w:val="en-AU"/>
              </w:rPr>
              <w:t>Drawdown impacts may be greater or lesser in the presence of a fault barrier, depending on the relative placement of the development compared to the fault.</w:t>
            </w:r>
          </w:p>
        </w:tc>
        <w:tc>
          <w:tcPr>
            <w:tcW w:w="1267" w:type="pct"/>
          </w:tcPr>
          <w:p w14:paraId="00F82155" w14:textId="77777777" w:rsidR="00451625" w:rsidRPr="006F4023" w:rsidRDefault="00451625" w:rsidP="006122E5">
            <w:pPr>
              <w:pStyle w:val="TableText"/>
              <w:numPr>
                <w:ilvl w:val="0"/>
                <w:numId w:val="8"/>
              </w:numPr>
              <w:rPr>
                <w:lang w:val="en-AU"/>
              </w:rPr>
            </w:pPr>
            <w:r w:rsidRPr="006F4023">
              <w:rPr>
                <w:lang w:val="en-AU"/>
              </w:rPr>
              <w:t>Site based hydrogeological characterisation of damage zones with multiple lines of evidence.</w:t>
            </w:r>
          </w:p>
          <w:p w14:paraId="4A235A66" w14:textId="77777777" w:rsidR="00451625" w:rsidRPr="006F4023" w:rsidRDefault="00451625" w:rsidP="006122E5">
            <w:pPr>
              <w:pStyle w:val="TableText"/>
              <w:numPr>
                <w:ilvl w:val="0"/>
                <w:numId w:val="8"/>
              </w:numPr>
              <w:rPr>
                <w:lang w:val="en-AU"/>
              </w:rPr>
            </w:pPr>
            <w:r w:rsidRPr="006F4023">
              <w:rPr>
                <w:lang w:val="en-AU"/>
              </w:rPr>
              <w:t>Displacement analysis assessing lateral continuity of faults.</w:t>
            </w:r>
          </w:p>
          <w:p w14:paraId="494FCE73" w14:textId="77777777" w:rsidR="00451625" w:rsidRPr="006F4023" w:rsidRDefault="00451625" w:rsidP="006122E5">
            <w:pPr>
              <w:pStyle w:val="TableText"/>
              <w:numPr>
                <w:ilvl w:val="0"/>
                <w:numId w:val="8"/>
              </w:numPr>
              <w:rPr>
                <w:lang w:val="en-AU"/>
              </w:rPr>
            </w:pPr>
            <w:r w:rsidRPr="006F4023">
              <w:rPr>
                <w:lang w:val="en-AU"/>
              </w:rPr>
              <w:t>Analysis of the significant uncertainties that arise from the character of the fault damage zone(s), including the thickness and continuity of the damage zones, fracture density and effective fracture transmissivity.</w:t>
            </w:r>
          </w:p>
          <w:p w14:paraId="15AFFD74" w14:textId="77777777" w:rsidR="00451625" w:rsidRPr="006F4023" w:rsidRDefault="00451625" w:rsidP="006122E5">
            <w:pPr>
              <w:pStyle w:val="TableText"/>
              <w:numPr>
                <w:ilvl w:val="0"/>
                <w:numId w:val="8"/>
              </w:numPr>
              <w:rPr>
                <w:lang w:val="en-AU"/>
              </w:rPr>
            </w:pPr>
            <w:r w:rsidRPr="006F4023">
              <w:rPr>
                <w:lang w:val="en-AU"/>
              </w:rPr>
              <w:t>Analog studies of similar faults in outcrop, documenting damage zone architecture, fracturing and any fault rocks.</w:t>
            </w:r>
          </w:p>
          <w:p w14:paraId="1B9AFF4B" w14:textId="77777777" w:rsidR="00451625" w:rsidRPr="006F4023" w:rsidRDefault="00451625" w:rsidP="006122E5">
            <w:pPr>
              <w:pStyle w:val="TableText"/>
              <w:numPr>
                <w:ilvl w:val="0"/>
                <w:numId w:val="8"/>
              </w:numPr>
              <w:rPr>
                <w:lang w:val="en-AU"/>
              </w:rPr>
            </w:pPr>
            <w:r w:rsidRPr="006F4023">
              <w:rPr>
                <w:lang w:val="en-AU"/>
              </w:rPr>
              <w:t>Characterise the mechanical stratigraphy of the aquifers and thus their propensity to fracture.</w:t>
            </w:r>
          </w:p>
        </w:tc>
        <w:tc>
          <w:tcPr>
            <w:tcW w:w="2276" w:type="pct"/>
          </w:tcPr>
          <w:p w14:paraId="2440A3E9" w14:textId="77777777" w:rsidR="00451625" w:rsidRPr="006F4023" w:rsidRDefault="00451625" w:rsidP="006122E5">
            <w:pPr>
              <w:pStyle w:val="TableText"/>
              <w:numPr>
                <w:ilvl w:val="0"/>
                <w:numId w:val="9"/>
              </w:numPr>
              <w:rPr>
                <w:lang w:val="en-AU"/>
              </w:rPr>
            </w:pPr>
            <w:r w:rsidRPr="006F4023">
              <w:rPr>
                <w:lang w:val="en-AU"/>
              </w:rPr>
              <w:t>Stochastic modelling may be used to model the probability that an identified fault or an unidentified fault intersects an asset.</w:t>
            </w:r>
          </w:p>
          <w:p w14:paraId="5EDCD5F1" w14:textId="77777777" w:rsidR="00451625" w:rsidRPr="006F4023" w:rsidRDefault="00451625" w:rsidP="006122E5">
            <w:pPr>
              <w:pStyle w:val="TableText"/>
              <w:numPr>
                <w:ilvl w:val="0"/>
                <w:numId w:val="9"/>
              </w:numPr>
              <w:rPr>
                <w:lang w:val="en-AU"/>
              </w:rPr>
            </w:pPr>
            <w:r w:rsidRPr="006F4023">
              <w:rPr>
                <w:lang w:val="en-AU"/>
              </w:rPr>
              <w:t>In the case of a fault intersecting an asset, a stochastic modelling approach that represents the potential repercussions of the fault on the groundwater flow system, potentially based on Cubic Law assumptions, can be used to derive distributions of the conservative estimates of flow from a source depressurisation effect, as an initial check on the potential significance of the fault(s) on an impact assessment</w:t>
            </w:r>
          </w:p>
          <w:p w14:paraId="59087683" w14:textId="77777777" w:rsidR="00451625" w:rsidRPr="006F4023" w:rsidRDefault="00451625" w:rsidP="006122E5">
            <w:pPr>
              <w:pStyle w:val="TableText"/>
              <w:numPr>
                <w:ilvl w:val="0"/>
                <w:numId w:val="9"/>
              </w:numPr>
              <w:rPr>
                <w:lang w:val="en-AU"/>
              </w:rPr>
            </w:pPr>
            <w:r w:rsidRPr="006F4023">
              <w:rPr>
                <w:lang w:val="en-AU"/>
              </w:rPr>
              <w:t>Ideally this approach would be validated through monitoring of a long-term pumping testing in the vicinity of key groundwater assets.</w:t>
            </w:r>
          </w:p>
          <w:p w14:paraId="34B75203" w14:textId="77777777" w:rsidR="00451625" w:rsidRPr="006F4023" w:rsidRDefault="00451625" w:rsidP="006122E5">
            <w:pPr>
              <w:pStyle w:val="TableText"/>
              <w:numPr>
                <w:ilvl w:val="0"/>
                <w:numId w:val="9"/>
              </w:numPr>
              <w:rPr>
                <w:lang w:val="en-AU"/>
              </w:rPr>
            </w:pPr>
            <w:r w:rsidRPr="006F4023">
              <w:rPr>
                <w:lang w:val="en-AU"/>
              </w:rPr>
              <w:t xml:space="preserve">If faults are identified as being material to the impact assessment, ensure any numerical groundwater modelling accounts for the repercussions of the fault presence, using information from the above assessments along with other hydrologic information. Stochastic or worse case numerical modelling approaches would be required to allow uncertainty of impacts to be considered in the risk assessment. </w:t>
            </w:r>
          </w:p>
        </w:tc>
      </w:tr>
      <w:tr w:rsidR="00451625" w:rsidRPr="006F4023" w14:paraId="1DFC574D" w14:textId="77777777" w:rsidTr="006122E5">
        <w:trPr>
          <w:trHeight w:val="2939"/>
        </w:trPr>
        <w:tc>
          <w:tcPr>
            <w:tcW w:w="405" w:type="pct"/>
          </w:tcPr>
          <w:p w14:paraId="50A70711" w14:textId="77777777" w:rsidR="00451625" w:rsidRPr="006F4023" w:rsidRDefault="00451625" w:rsidP="006122E5">
            <w:pPr>
              <w:pStyle w:val="TableText"/>
              <w:rPr>
                <w:b/>
                <w:bCs/>
                <w:lang w:val="en-AU"/>
              </w:rPr>
            </w:pPr>
            <w:r w:rsidRPr="006F4023">
              <w:rPr>
                <w:b/>
                <w:bCs/>
                <w:lang w:val="en-AU"/>
              </w:rPr>
              <w:t>Scenario C - Faults are important within aquifer-aquitard systems</w:t>
            </w:r>
          </w:p>
          <w:p w14:paraId="32C6E6D3" w14:textId="77777777" w:rsidR="00451625" w:rsidRPr="006F4023" w:rsidRDefault="00451625" w:rsidP="006122E5">
            <w:pPr>
              <w:pStyle w:val="TableText"/>
              <w:rPr>
                <w:b/>
                <w:bCs/>
                <w:lang w:val="en-AU"/>
              </w:rPr>
            </w:pPr>
          </w:p>
        </w:tc>
        <w:tc>
          <w:tcPr>
            <w:tcW w:w="481" w:type="pct"/>
          </w:tcPr>
          <w:p w14:paraId="139209B7" w14:textId="77777777" w:rsidR="00451625" w:rsidRPr="006F4023" w:rsidRDefault="00451625" w:rsidP="006122E5">
            <w:pPr>
              <w:pStyle w:val="TableText"/>
              <w:rPr>
                <w:b/>
                <w:bCs/>
                <w:lang w:val="en-AU"/>
              </w:rPr>
            </w:pPr>
            <w:r w:rsidRPr="006F4023">
              <w:rPr>
                <w:b/>
                <w:bCs/>
                <w:lang w:val="en-AU"/>
              </w:rPr>
              <w:t>Faulting displaces regional aquitards, thus connecting the asset or aquifer to the coal seam by generating primary juxtaposition.</w:t>
            </w:r>
          </w:p>
        </w:tc>
        <w:tc>
          <w:tcPr>
            <w:tcW w:w="571" w:type="pct"/>
          </w:tcPr>
          <w:p w14:paraId="648B7BE2" w14:textId="77777777" w:rsidR="00451625" w:rsidRPr="006F4023" w:rsidRDefault="00451625" w:rsidP="006122E5">
            <w:pPr>
              <w:pStyle w:val="TableText"/>
              <w:numPr>
                <w:ilvl w:val="0"/>
                <w:numId w:val="8"/>
              </w:numPr>
              <w:rPr>
                <w:lang w:val="en-AU"/>
              </w:rPr>
            </w:pPr>
            <w:r w:rsidRPr="006F4023">
              <w:rPr>
                <w:lang w:val="en-AU"/>
              </w:rPr>
              <w:t>Flow may occur across faults between aquifers through juxtaposition windows.</w:t>
            </w:r>
          </w:p>
          <w:p w14:paraId="561C751A" w14:textId="77777777" w:rsidR="00451625" w:rsidRPr="006F4023" w:rsidRDefault="00451625" w:rsidP="006122E5">
            <w:pPr>
              <w:pStyle w:val="TableText"/>
              <w:numPr>
                <w:ilvl w:val="0"/>
                <w:numId w:val="8"/>
              </w:numPr>
              <w:rPr>
                <w:lang w:val="en-AU"/>
              </w:rPr>
            </w:pPr>
            <w:r w:rsidRPr="006F4023">
              <w:rPr>
                <w:lang w:val="en-AU"/>
              </w:rPr>
              <w:t>Depressurisation at the coal seam or excavation may drawdown shallower aquifers that would otherwise be separated by aquitards.</w:t>
            </w:r>
          </w:p>
          <w:p w14:paraId="1CC544C8" w14:textId="77777777" w:rsidR="00451625" w:rsidRPr="006F4023" w:rsidRDefault="00451625" w:rsidP="006122E5">
            <w:pPr>
              <w:pStyle w:val="TableText"/>
              <w:numPr>
                <w:ilvl w:val="0"/>
                <w:numId w:val="8"/>
              </w:numPr>
              <w:rPr>
                <w:lang w:val="en-AU"/>
              </w:rPr>
            </w:pPr>
            <w:r w:rsidRPr="006F4023">
              <w:rPr>
                <w:lang w:val="en-AU"/>
              </w:rPr>
              <w:t>Aquifers may be fully juxtaposed with aquitards to form primary juxtaposition/no flow barriers.</w:t>
            </w:r>
          </w:p>
        </w:tc>
        <w:tc>
          <w:tcPr>
            <w:tcW w:w="1267" w:type="pct"/>
          </w:tcPr>
          <w:p w14:paraId="56EC7A6E" w14:textId="77777777" w:rsidR="00451625" w:rsidRPr="006F4023" w:rsidRDefault="00451625" w:rsidP="006122E5">
            <w:pPr>
              <w:pStyle w:val="TableText"/>
              <w:numPr>
                <w:ilvl w:val="0"/>
                <w:numId w:val="10"/>
              </w:numPr>
              <w:rPr>
                <w:lang w:val="en-AU"/>
              </w:rPr>
            </w:pPr>
            <w:r w:rsidRPr="006F4023">
              <w:rPr>
                <w:lang w:val="en-AU"/>
              </w:rPr>
              <w:t xml:space="preserve">A set of regional cross sections showing geologically consistent faulting kinematics, </w:t>
            </w:r>
            <w:proofErr w:type="gramStart"/>
            <w:r w:rsidRPr="006F4023">
              <w:rPr>
                <w:lang w:val="en-AU"/>
              </w:rPr>
              <w:t>architecture</w:t>
            </w:r>
            <w:proofErr w:type="gramEnd"/>
            <w:r w:rsidRPr="006F4023">
              <w:rPr>
                <w:lang w:val="en-AU"/>
              </w:rPr>
              <w:t xml:space="preserve"> and the deposition environment of the aquitard. </w:t>
            </w:r>
          </w:p>
          <w:p w14:paraId="4921BCA1" w14:textId="77777777" w:rsidR="00451625" w:rsidRPr="006F4023" w:rsidRDefault="00451625" w:rsidP="006122E5">
            <w:pPr>
              <w:pStyle w:val="TableText"/>
              <w:numPr>
                <w:ilvl w:val="0"/>
                <w:numId w:val="10"/>
              </w:numPr>
              <w:rPr>
                <w:lang w:val="en-AU"/>
              </w:rPr>
            </w:pPr>
            <w:r w:rsidRPr="006F4023">
              <w:rPr>
                <w:lang w:val="en-AU"/>
              </w:rPr>
              <w:t>Depth structure contour maps for the top and base of aquitards.</w:t>
            </w:r>
          </w:p>
          <w:p w14:paraId="2E4E5131" w14:textId="77777777" w:rsidR="00451625" w:rsidRPr="006F4023" w:rsidRDefault="00451625" w:rsidP="006122E5">
            <w:pPr>
              <w:pStyle w:val="TableText"/>
              <w:numPr>
                <w:ilvl w:val="0"/>
                <w:numId w:val="10"/>
              </w:numPr>
              <w:rPr>
                <w:lang w:val="en-AU"/>
              </w:rPr>
            </w:pPr>
            <w:r w:rsidRPr="006F4023">
              <w:rPr>
                <w:lang w:val="en-AU"/>
              </w:rPr>
              <w:t>Isopach map for the aquifers and aquitards.</w:t>
            </w:r>
          </w:p>
          <w:p w14:paraId="0D8DA370" w14:textId="77777777" w:rsidR="00451625" w:rsidRPr="006F4023" w:rsidRDefault="00451625" w:rsidP="006122E5">
            <w:pPr>
              <w:pStyle w:val="TableText"/>
              <w:numPr>
                <w:ilvl w:val="0"/>
                <w:numId w:val="10"/>
              </w:numPr>
              <w:rPr>
                <w:lang w:val="en-AU"/>
              </w:rPr>
            </w:pPr>
            <w:r w:rsidRPr="006F4023">
              <w:rPr>
                <w:lang w:val="en-AU"/>
              </w:rPr>
              <w:t>As with scenario A-2, all aquitards need to be described and assessed. Quantitative juxtaposition analysis of aquifers, seams and aquitards across faults should document the locations of juxtapositions and then estimate the areas of these juxtapositions.</w:t>
            </w:r>
          </w:p>
          <w:p w14:paraId="0DC3C2FA" w14:textId="41739DB5" w:rsidR="00451625" w:rsidRPr="006F4023" w:rsidRDefault="00451625" w:rsidP="006122E5">
            <w:pPr>
              <w:pStyle w:val="TableText"/>
              <w:numPr>
                <w:ilvl w:val="0"/>
                <w:numId w:val="10"/>
              </w:numPr>
              <w:rPr>
                <w:lang w:val="en-AU"/>
              </w:rPr>
            </w:pPr>
            <w:r w:rsidRPr="006F4023">
              <w:rPr>
                <w:lang w:val="en-AU"/>
              </w:rPr>
              <w:t>For the case of “no-flow” fault barriers juxtaposition analysis and extensive site-specific pump</w:t>
            </w:r>
            <w:r w:rsidR="00CE4237">
              <w:rPr>
                <w:lang w:val="en-AU"/>
              </w:rPr>
              <w:t>ing tests</w:t>
            </w:r>
            <w:r w:rsidRPr="006F4023">
              <w:rPr>
                <w:lang w:val="en-AU"/>
              </w:rPr>
              <w:t xml:space="preserve"> from both sides of the fault and along strike of the fault. Studies using environmental water tracers (for example helium and radon) may be useful. </w:t>
            </w:r>
          </w:p>
        </w:tc>
        <w:tc>
          <w:tcPr>
            <w:tcW w:w="2276" w:type="pct"/>
          </w:tcPr>
          <w:p w14:paraId="2A1BA8A5" w14:textId="77777777" w:rsidR="00451625" w:rsidRPr="006F4023" w:rsidRDefault="00451625" w:rsidP="006122E5">
            <w:pPr>
              <w:pStyle w:val="TableText"/>
              <w:numPr>
                <w:ilvl w:val="0"/>
                <w:numId w:val="9"/>
              </w:numPr>
              <w:rPr>
                <w:lang w:val="en-AU"/>
              </w:rPr>
            </w:pPr>
            <w:r w:rsidRPr="006F4023">
              <w:rPr>
                <w:lang w:val="en-AU"/>
              </w:rPr>
              <w:t xml:space="preserve">Fault juxtaposition occurrence and area are the key uncertainties in this scenario. The construction of Allan Maps for key faults is </w:t>
            </w:r>
            <w:proofErr w:type="gramStart"/>
            <w:r w:rsidRPr="006F4023">
              <w:rPr>
                <w:lang w:val="en-AU"/>
              </w:rPr>
              <w:t>encouraged, or</w:t>
            </w:r>
            <w:proofErr w:type="gramEnd"/>
            <w:r w:rsidRPr="006F4023">
              <w:rPr>
                <w:lang w:val="en-AU"/>
              </w:rPr>
              <w:t xml:space="preserve"> generating a significant series of cross sections orthogonal to each fault.</w:t>
            </w:r>
          </w:p>
          <w:p w14:paraId="022181C9" w14:textId="77777777" w:rsidR="00451625" w:rsidRPr="006F4023" w:rsidRDefault="00451625" w:rsidP="006122E5">
            <w:pPr>
              <w:pStyle w:val="TableText"/>
              <w:numPr>
                <w:ilvl w:val="0"/>
                <w:numId w:val="9"/>
              </w:numPr>
              <w:rPr>
                <w:lang w:val="en-AU"/>
              </w:rPr>
            </w:pPr>
            <w:r w:rsidRPr="006F4023">
              <w:rPr>
                <w:lang w:val="en-AU"/>
              </w:rPr>
              <w:t>Stochastic fault analysis can be used to assess the probability of juxtaposition.</w:t>
            </w:r>
          </w:p>
          <w:p w14:paraId="5A7CA634" w14:textId="77777777" w:rsidR="00451625" w:rsidRPr="006F4023" w:rsidRDefault="00451625" w:rsidP="006122E5">
            <w:pPr>
              <w:pStyle w:val="TableText"/>
              <w:numPr>
                <w:ilvl w:val="0"/>
                <w:numId w:val="9"/>
              </w:numPr>
              <w:rPr>
                <w:lang w:val="en-AU"/>
              </w:rPr>
            </w:pPr>
            <w:r w:rsidRPr="006F4023">
              <w:rPr>
                <w:lang w:val="en-AU"/>
              </w:rPr>
              <w:t>Distribution of aquifer juxtaposition areas and thus distributions of likely cross fault flow.</w:t>
            </w:r>
          </w:p>
          <w:p w14:paraId="7B00FCD8" w14:textId="77777777" w:rsidR="00451625" w:rsidRPr="006F4023" w:rsidRDefault="00451625" w:rsidP="006122E5">
            <w:pPr>
              <w:pStyle w:val="TableText"/>
              <w:numPr>
                <w:ilvl w:val="0"/>
                <w:numId w:val="9"/>
              </w:numPr>
              <w:rPr>
                <w:lang w:val="en-AU"/>
              </w:rPr>
            </w:pPr>
            <w:r w:rsidRPr="006F4023">
              <w:rPr>
                <w:lang w:val="en-AU"/>
              </w:rPr>
              <w:t xml:space="preserve">Probabilistic analysis of across fault flow should then be used to define fault transmissibility in groundwater flow models. </w:t>
            </w:r>
          </w:p>
          <w:p w14:paraId="6FF0E726" w14:textId="77777777" w:rsidR="00451625" w:rsidRPr="006F4023" w:rsidRDefault="00451625" w:rsidP="006122E5">
            <w:pPr>
              <w:pStyle w:val="TableText"/>
              <w:numPr>
                <w:ilvl w:val="0"/>
                <w:numId w:val="9"/>
              </w:numPr>
              <w:rPr>
                <w:lang w:val="en-AU"/>
              </w:rPr>
            </w:pPr>
            <w:r w:rsidRPr="006F4023">
              <w:rPr>
                <w:lang w:val="en-AU"/>
              </w:rPr>
              <w:t xml:space="preserve">Whilst the existence of a cross fault seal (membrane seal) provided by a fine-grained fault core material is possible, extensive evidence of the likely efficiency and character of any membrane seals should be presented. </w:t>
            </w:r>
          </w:p>
          <w:p w14:paraId="07E0803D" w14:textId="0548BC9D" w:rsidR="00451625" w:rsidRPr="006F4023" w:rsidRDefault="00451625" w:rsidP="006122E5">
            <w:pPr>
              <w:pStyle w:val="TableText"/>
              <w:numPr>
                <w:ilvl w:val="0"/>
                <w:numId w:val="9"/>
              </w:numPr>
              <w:rPr>
                <w:lang w:val="en-AU"/>
              </w:rPr>
            </w:pPr>
            <w:r w:rsidRPr="006F4023">
              <w:rPr>
                <w:lang w:val="en-AU"/>
              </w:rPr>
              <w:t>Pump</w:t>
            </w:r>
            <w:r w:rsidR="00CE4237">
              <w:rPr>
                <w:lang w:val="en-AU"/>
              </w:rPr>
              <w:t>ing</w:t>
            </w:r>
            <w:r w:rsidRPr="006F4023">
              <w:rPr>
                <w:lang w:val="en-AU"/>
              </w:rPr>
              <w:t xml:space="preserve"> tests and/or environmental tracer tests to support the conceptualisation and provide an analogue of possible drawdown changes caused by the development.</w:t>
            </w:r>
          </w:p>
          <w:p w14:paraId="4AA45922" w14:textId="77777777" w:rsidR="00451625" w:rsidRPr="006F4023" w:rsidRDefault="00451625" w:rsidP="006122E5">
            <w:pPr>
              <w:pStyle w:val="TableText"/>
              <w:numPr>
                <w:ilvl w:val="0"/>
                <w:numId w:val="9"/>
              </w:numPr>
              <w:rPr>
                <w:lang w:val="en-AU"/>
              </w:rPr>
            </w:pPr>
            <w:r w:rsidRPr="006F4023">
              <w:rPr>
                <w:lang w:val="en-AU"/>
              </w:rPr>
              <w:t>If faults are identified as being material to the impact assessment, ensure any numerical groundwater modelling accounts for the repercussions of the fault presence, using information from the above assessments along with other hydrologic information. Stochastic or worse case numerical modelling approaches would be required to allow uncertainty of impacts to be considered in the risk assessment.</w:t>
            </w:r>
          </w:p>
        </w:tc>
      </w:tr>
      <w:tr w:rsidR="00451625" w:rsidRPr="006F4023" w14:paraId="6C7F3136" w14:textId="77777777" w:rsidTr="006122E5">
        <w:trPr>
          <w:trHeight w:val="2775"/>
        </w:trPr>
        <w:tc>
          <w:tcPr>
            <w:tcW w:w="405" w:type="pct"/>
          </w:tcPr>
          <w:p w14:paraId="74ADF8AA" w14:textId="77777777" w:rsidR="00451625" w:rsidRPr="006F4023" w:rsidRDefault="00451625" w:rsidP="006122E5">
            <w:pPr>
              <w:pStyle w:val="TableText"/>
              <w:spacing w:line="259" w:lineRule="auto"/>
              <w:rPr>
                <w:b/>
                <w:bCs/>
                <w:lang w:val="en-AU"/>
              </w:rPr>
            </w:pPr>
            <w:r w:rsidRPr="006F4023">
              <w:rPr>
                <w:b/>
                <w:bCs/>
                <w:lang w:val="en-AU"/>
              </w:rPr>
              <w:lastRenderedPageBreak/>
              <w:t>Scenario D - Differential subsidence leading to increased flow along existing or new fractures</w:t>
            </w:r>
          </w:p>
          <w:p w14:paraId="51298DD7" w14:textId="77777777" w:rsidR="00451625" w:rsidRPr="006F4023" w:rsidRDefault="00451625" w:rsidP="006122E5">
            <w:pPr>
              <w:pStyle w:val="TableText"/>
              <w:spacing w:line="259" w:lineRule="auto"/>
              <w:rPr>
                <w:b/>
                <w:bCs/>
                <w:lang w:val="en-AU"/>
              </w:rPr>
            </w:pPr>
          </w:p>
        </w:tc>
        <w:tc>
          <w:tcPr>
            <w:tcW w:w="481" w:type="pct"/>
          </w:tcPr>
          <w:p w14:paraId="42334327" w14:textId="77777777" w:rsidR="00451625" w:rsidRPr="009C1439" w:rsidRDefault="00451625" w:rsidP="006122E5">
            <w:pPr>
              <w:pStyle w:val="TableText"/>
              <w:rPr>
                <w:b/>
                <w:bCs/>
                <w:lang w:val="en-AU"/>
              </w:rPr>
            </w:pPr>
            <w:r w:rsidRPr="006F4023">
              <w:rPr>
                <w:b/>
                <w:bCs/>
                <w:lang w:val="en-AU"/>
              </w:rPr>
              <w:t>Differe</w:t>
            </w:r>
            <w:r w:rsidRPr="009C1439">
              <w:rPr>
                <w:b/>
                <w:bCs/>
                <w:lang w:val="en-AU"/>
              </w:rPr>
              <w:t xml:space="preserve">ntial movement reactivates faults and fractures or develops new pathways in previously </w:t>
            </w:r>
            <w:proofErr w:type="spellStart"/>
            <w:r w:rsidRPr="009C1439">
              <w:rPr>
                <w:b/>
                <w:bCs/>
                <w:lang w:val="en-AU"/>
              </w:rPr>
              <w:t>unfaulted</w:t>
            </w:r>
            <w:proofErr w:type="spellEnd"/>
            <w:r w:rsidRPr="009C1439">
              <w:rPr>
                <w:b/>
                <w:bCs/>
                <w:lang w:val="en-AU"/>
              </w:rPr>
              <w:t xml:space="preserve"> or unfractured strata. This scenario is most likely to apply to underground mines but could also occur in open cut mining and CSG.</w:t>
            </w:r>
          </w:p>
        </w:tc>
        <w:tc>
          <w:tcPr>
            <w:tcW w:w="571" w:type="pct"/>
          </w:tcPr>
          <w:p w14:paraId="43A40509" w14:textId="77777777" w:rsidR="00451625" w:rsidRPr="009C1439" w:rsidRDefault="00451625" w:rsidP="006122E5">
            <w:pPr>
              <w:pStyle w:val="TableText"/>
              <w:numPr>
                <w:ilvl w:val="0"/>
                <w:numId w:val="8"/>
              </w:numPr>
              <w:rPr>
                <w:lang w:val="en-AU"/>
              </w:rPr>
            </w:pPr>
            <w:r w:rsidRPr="009C1439">
              <w:rPr>
                <w:lang w:val="en-AU"/>
              </w:rPr>
              <w:t xml:space="preserve">Rapid drainage of surface aquifers through fracture or fault networks caused by project development. </w:t>
            </w:r>
          </w:p>
        </w:tc>
        <w:tc>
          <w:tcPr>
            <w:tcW w:w="1267" w:type="pct"/>
          </w:tcPr>
          <w:p w14:paraId="06620A42" w14:textId="77777777" w:rsidR="00451625" w:rsidRPr="009C1439" w:rsidRDefault="00451625" w:rsidP="006122E5">
            <w:pPr>
              <w:pStyle w:val="TableText"/>
              <w:numPr>
                <w:ilvl w:val="0"/>
                <w:numId w:val="8"/>
              </w:numPr>
              <w:rPr>
                <w:lang w:val="en-AU"/>
              </w:rPr>
            </w:pPr>
            <w:r w:rsidRPr="009C1439">
              <w:rPr>
                <w:lang w:val="en-AU"/>
              </w:rPr>
              <w:t>Required for mines with significant differential subsidence.</w:t>
            </w:r>
          </w:p>
          <w:p w14:paraId="7A302D3C" w14:textId="77777777" w:rsidR="00451625" w:rsidRPr="009C1439" w:rsidRDefault="00451625" w:rsidP="006122E5">
            <w:pPr>
              <w:pStyle w:val="TableText"/>
              <w:numPr>
                <w:ilvl w:val="0"/>
                <w:numId w:val="8"/>
              </w:numPr>
              <w:rPr>
                <w:lang w:val="en-AU"/>
              </w:rPr>
            </w:pPr>
            <w:r w:rsidRPr="009C1439">
              <w:rPr>
                <w:lang w:val="en-AU"/>
              </w:rPr>
              <w:t>The geometry of near surface faults and their associated damage zones are the first order features to be characterised.</w:t>
            </w:r>
          </w:p>
          <w:p w14:paraId="25445DE5" w14:textId="77777777" w:rsidR="00451625" w:rsidRPr="009C1439" w:rsidRDefault="00451625" w:rsidP="006122E5">
            <w:pPr>
              <w:pStyle w:val="TableText"/>
              <w:numPr>
                <w:ilvl w:val="0"/>
                <w:numId w:val="8"/>
              </w:numPr>
              <w:rPr>
                <w:lang w:val="en-AU"/>
              </w:rPr>
            </w:pPr>
            <w:r w:rsidRPr="009C1439">
              <w:rPr>
                <w:lang w:val="en-AU"/>
              </w:rPr>
              <w:t>Surface and base aquitard structure contour maps illustrating the faults and their displacement need to be provided.</w:t>
            </w:r>
          </w:p>
          <w:p w14:paraId="4AD2E0D9" w14:textId="77777777" w:rsidR="00451625" w:rsidRPr="009C1439" w:rsidRDefault="00451625" w:rsidP="006122E5">
            <w:pPr>
              <w:pStyle w:val="TableText"/>
              <w:numPr>
                <w:ilvl w:val="0"/>
                <w:numId w:val="8"/>
              </w:numPr>
              <w:rPr>
                <w:lang w:val="en-AU"/>
              </w:rPr>
            </w:pPr>
            <w:r w:rsidRPr="009C1439">
              <w:rPr>
                <w:lang w:val="en-AU"/>
              </w:rPr>
              <w:t xml:space="preserve">Analysis of </w:t>
            </w:r>
            <w:r w:rsidRPr="009C1439">
              <w:rPr>
                <w:i/>
                <w:iCs/>
                <w:lang w:val="en-AU"/>
              </w:rPr>
              <w:t>in situ</w:t>
            </w:r>
            <w:r w:rsidRPr="009C1439">
              <w:rPr>
                <w:lang w:val="en-AU"/>
              </w:rPr>
              <w:t xml:space="preserve"> stress, and the effect that excavation may have on stress and the change in stress required for fault reactivation. </w:t>
            </w:r>
          </w:p>
          <w:p w14:paraId="1708C9B0" w14:textId="77777777" w:rsidR="00451625" w:rsidRPr="009C1439" w:rsidRDefault="00451625" w:rsidP="006122E5">
            <w:pPr>
              <w:pStyle w:val="TableText"/>
              <w:numPr>
                <w:ilvl w:val="0"/>
                <w:numId w:val="8"/>
              </w:numPr>
              <w:rPr>
                <w:lang w:val="en-AU"/>
              </w:rPr>
            </w:pPr>
            <w:r w:rsidRPr="009C1439">
              <w:rPr>
                <w:lang w:val="en-AU"/>
              </w:rPr>
              <w:t xml:space="preserve">Water isotopes / tracers for conceptualisation of flow pathways. </w:t>
            </w:r>
          </w:p>
          <w:p w14:paraId="472E2B25" w14:textId="77777777" w:rsidR="00451625" w:rsidRPr="009C1439" w:rsidRDefault="00451625" w:rsidP="006122E5">
            <w:pPr>
              <w:pStyle w:val="TableText"/>
              <w:numPr>
                <w:ilvl w:val="0"/>
                <w:numId w:val="8"/>
              </w:numPr>
              <w:rPr>
                <w:lang w:val="en-AU"/>
              </w:rPr>
            </w:pPr>
            <w:r w:rsidRPr="009C1439">
              <w:rPr>
                <w:lang w:val="en-AU"/>
              </w:rPr>
              <w:t>Geologically valid cross sections that illustrate the linkage from the seam level to the surface.</w:t>
            </w:r>
          </w:p>
        </w:tc>
        <w:tc>
          <w:tcPr>
            <w:tcW w:w="2276" w:type="pct"/>
          </w:tcPr>
          <w:p w14:paraId="513A0BD9" w14:textId="77777777" w:rsidR="00451625" w:rsidRPr="006F4023" w:rsidRDefault="00451625" w:rsidP="006122E5">
            <w:pPr>
              <w:pStyle w:val="TableText"/>
              <w:numPr>
                <w:ilvl w:val="0"/>
                <w:numId w:val="8"/>
              </w:numPr>
              <w:rPr>
                <w:lang w:val="en-AU"/>
              </w:rPr>
            </w:pPr>
            <w:r w:rsidRPr="006F4023">
              <w:rPr>
                <w:lang w:val="en-AU"/>
              </w:rPr>
              <w:t>Baseline studies of hydrogeological properties of faults are required to characterise their influence on hydrogeological systems.</w:t>
            </w:r>
          </w:p>
          <w:p w14:paraId="3AE562C4" w14:textId="77777777" w:rsidR="00451625" w:rsidRPr="006F4023" w:rsidRDefault="00451625" w:rsidP="006122E5">
            <w:pPr>
              <w:pStyle w:val="TableText"/>
              <w:numPr>
                <w:ilvl w:val="0"/>
                <w:numId w:val="8"/>
              </w:numPr>
              <w:rPr>
                <w:lang w:val="en-AU"/>
              </w:rPr>
            </w:pPr>
            <w:r w:rsidRPr="006F4023">
              <w:rPr>
                <w:lang w:val="en-AU"/>
              </w:rPr>
              <w:t>Stochastic modelling may be used to model the probability that an identified fault or a suspected fault provides a pathway that intersects an asset.</w:t>
            </w:r>
          </w:p>
          <w:p w14:paraId="0D0AD85E" w14:textId="77777777" w:rsidR="00451625" w:rsidRPr="006F4023" w:rsidRDefault="00451625" w:rsidP="006122E5">
            <w:pPr>
              <w:pStyle w:val="TableText"/>
              <w:numPr>
                <w:ilvl w:val="0"/>
                <w:numId w:val="8"/>
              </w:numPr>
              <w:rPr>
                <w:lang w:val="en-AU"/>
              </w:rPr>
            </w:pPr>
            <w:r w:rsidRPr="006F4023">
              <w:rPr>
                <w:lang w:val="en-AU"/>
              </w:rPr>
              <w:t>In the case of a fault intersecting an asset, a stochastic modelling approach that includes discrete fracture flow can be used to derive distributions of the conservative estimates of flow from a source depressurisation effect.</w:t>
            </w:r>
          </w:p>
          <w:p w14:paraId="741B357C" w14:textId="77777777" w:rsidR="00451625" w:rsidRPr="006F4023" w:rsidRDefault="00451625" w:rsidP="006122E5">
            <w:pPr>
              <w:pStyle w:val="TableText"/>
              <w:numPr>
                <w:ilvl w:val="0"/>
                <w:numId w:val="8"/>
              </w:numPr>
              <w:rPr>
                <w:lang w:val="en-AU"/>
              </w:rPr>
            </w:pPr>
            <w:r>
              <w:rPr>
                <w:lang w:val="en-AU"/>
              </w:rPr>
              <w:t xml:space="preserve">Field evidence is </w:t>
            </w:r>
            <w:r w:rsidRPr="006F4023">
              <w:rPr>
                <w:lang w:val="en-AU"/>
              </w:rPr>
              <w:t xml:space="preserve">required to support the </w:t>
            </w:r>
            <w:r>
              <w:rPr>
                <w:lang w:val="en-AU"/>
              </w:rPr>
              <w:t>conceptualisation, such as e</w:t>
            </w:r>
            <w:r w:rsidRPr="006F4023">
              <w:rPr>
                <w:lang w:val="en-AU"/>
              </w:rPr>
              <w:t>nvironmental monitoring, tracer and</w:t>
            </w:r>
            <w:r>
              <w:rPr>
                <w:lang w:val="en-AU"/>
              </w:rPr>
              <w:t>/or</w:t>
            </w:r>
            <w:r w:rsidRPr="006F4023">
              <w:rPr>
                <w:lang w:val="en-AU"/>
              </w:rPr>
              <w:t xml:space="preserve"> pump</w:t>
            </w:r>
            <w:r>
              <w:rPr>
                <w:lang w:val="en-AU"/>
              </w:rPr>
              <w:t>ing</w:t>
            </w:r>
            <w:r w:rsidRPr="006F4023">
              <w:rPr>
                <w:lang w:val="en-AU"/>
              </w:rPr>
              <w:t xml:space="preserve"> </w:t>
            </w:r>
            <w:r>
              <w:rPr>
                <w:lang w:val="en-AU"/>
              </w:rPr>
              <w:t>tests.</w:t>
            </w:r>
          </w:p>
          <w:p w14:paraId="52DFBDBF" w14:textId="77777777" w:rsidR="00451625" w:rsidRPr="006F4023" w:rsidRDefault="00451625" w:rsidP="006122E5">
            <w:pPr>
              <w:pStyle w:val="TableText"/>
              <w:numPr>
                <w:ilvl w:val="0"/>
                <w:numId w:val="8"/>
              </w:numPr>
              <w:rPr>
                <w:lang w:val="en-AU"/>
              </w:rPr>
            </w:pPr>
            <w:r w:rsidRPr="006F4023">
              <w:rPr>
                <w:lang w:val="en-AU"/>
              </w:rPr>
              <w:t xml:space="preserve">Combined </w:t>
            </w:r>
            <w:proofErr w:type="spellStart"/>
            <w:r w:rsidRPr="006F4023">
              <w:rPr>
                <w:lang w:val="en-AU"/>
              </w:rPr>
              <w:t>geomechanical</w:t>
            </w:r>
            <w:proofErr w:type="spellEnd"/>
            <w:r w:rsidRPr="006F4023">
              <w:rPr>
                <w:lang w:val="en-AU"/>
              </w:rPr>
              <w:t xml:space="preserve"> and groundwater flow modelling, consistent with mine design are encouraged within the Hydrogeological Risk Assessment to identify focus areas for specific assessment.  Stochastic or worse case numerical modelling approaches would be required to allow uncertainty of impacts to be considered in the risk assessment.</w:t>
            </w:r>
          </w:p>
        </w:tc>
      </w:tr>
    </w:tbl>
    <w:p w14:paraId="3AB9437A" w14:textId="448FC997" w:rsidR="00451625" w:rsidRPr="006F4023" w:rsidRDefault="00451625" w:rsidP="00EC6144">
      <w:pPr>
        <w:tabs>
          <w:tab w:val="left" w:pos="567"/>
        </w:tabs>
        <w:sectPr w:rsidR="00451625" w:rsidRPr="006F4023" w:rsidSect="00793655">
          <w:pgSz w:w="23814" w:h="16839" w:orient="landscape" w:code="8"/>
          <w:pgMar w:top="720" w:right="720" w:bottom="720" w:left="720" w:header="567" w:footer="567" w:gutter="0"/>
          <w:cols w:space="708"/>
          <w:docGrid w:linePitch="360"/>
        </w:sectPr>
      </w:pPr>
    </w:p>
    <w:p w14:paraId="7B4AAA94" w14:textId="4272954A" w:rsidR="00FC261A" w:rsidRPr="0038473D" w:rsidRDefault="00FC261A" w:rsidP="00C51958">
      <w:pPr>
        <w:pStyle w:val="Heading1Numbered"/>
        <w:numPr>
          <w:ilvl w:val="0"/>
          <w:numId w:val="5"/>
        </w:numPr>
        <w:ind w:left="567" w:hanging="567"/>
      </w:pPr>
      <w:bookmarkStart w:id="31" w:name="_Toc66967167"/>
      <w:r w:rsidRPr="006F4023">
        <w:lastRenderedPageBreak/>
        <w:t>Introduction</w:t>
      </w:r>
      <w:bookmarkEnd w:id="30"/>
      <w:bookmarkEnd w:id="31"/>
      <w:r w:rsidRPr="006F4023">
        <w:t xml:space="preserve"> </w:t>
      </w:r>
      <w:bookmarkEnd w:id="28"/>
      <w:bookmarkEnd w:id="29"/>
    </w:p>
    <w:p w14:paraId="18851A23" w14:textId="5C511079" w:rsidR="003613B0" w:rsidRPr="00793151" w:rsidRDefault="003613B0" w:rsidP="003613B0">
      <w:pPr>
        <w:pStyle w:val="BodyText"/>
        <w:rPr>
          <w:lang w:val="en-AU"/>
        </w:rPr>
      </w:pPr>
      <w:r w:rsidRPr="006F4023">
        <w:rPr>
          <w:lang w:val="en-AU"/>
        </w:rPr>
        <w:t>This Explanatory Note is a guide to assist propone</w:t>
      </w:r>
      <w:r w:rsidRPr="00793151">
        <w:rPr>
          <w:lang w:val="en-AU"/>
        </w:rPr>
        <w:t xml:space="preserve">nts preparing environmental impact assessments </w:t>
      </w:r>
      <w:r w:rsidR="00FB3BB6" w:rsidRPr="00793151">
        <w:rPr>
          <w:lang w:val="en-AU"/>
        </w:rPr>
        <w:t>(EIA)</w:t>
      </w:r>
      <w:r w:rsidRPr="00793151">
        <w:rPr>
          <w:lang w:val="en-AU"/>
        </w:rPr>
        <w:t xml:space="preserve">to address the risks posed </w:t>
      </w:r>
      <w:r w:rsidR="008B50BF" w:rsidRPr="00793151">
        <w:rPr>
          <w:lang w:val="en-AU"/>
        </w:rPr>
        <w:t xml:space="preserve">to groundwater assets by </w:t>
      </w:r>
      <w:r w:rsidRPr="00793151">
        <w:rPr>
          <w:lang w:val="en-AU"/>
        </w:rPr>
        <w:t>geological faults</w:t>
      </w:r>
      <w:r w:rsidR="008B50BF" w:rsidRPr="00793151">
        <w:rPr>
          <w:lang w:val="en-AU"/>
        </w:rPr>
        <w:t xml:space="preserve"> acting as pathways or barriers</w:t>
      </w:r>
      <w:r w:rsidRPr="00793151">
        <w:rPr>
          <w:lang w:val="en-AU"/>
        </w:rPr>
        <w:t xml:space="preserve">. </w:t>
      </w:r>
      <w:r w:rsidR="008B50BF" w:rsidRPr="00793151">
        <w:rPr>
          <w:lang w:val="en-AU"/>
        </w:rPr>
        <w:t xml:space="preserve">It contains </w:t>
      </w:r>
      <w:r w:rsidRPr="00793151">
        <w:rPr>
          <w:lang w:val="en-AU"/>
        </w:rPr>
        <w:t>tailored guidance and describe</w:t>
      </w:r>
      <w:r w:rsidR="00C4692C" w:rsidRPr="00793151">
        <w:rPr>
          <w:lang w:val="en-AU"/>
        </w:rPr>
        <w:t>s</w:t>
      </w:r>
      <w:r w:rsidRPr="00793151">
        <w:rPr>
          <w:lang w:val="en-AU"/>
        </w:rPr>
        <w:t xml:space="preserve"> up-to-date, robust, scientific methodologies </w:t>
      </w:r>
      <w:r w:rsidR="008B50BF" w:rsidRPr="00793151">
        <w:rPr>
          <w:lang w:val="en-AU"/>
        </w:rPr>
        <w:t xml:space="preserve">for </w:t>
      </w:r>
      <w:r w:rsidRPr="00793151">
        <w:rPr>
          <w:lang w:val="en-AU"/>
        </w:rPr>
        <w:t>environmental impact assessments on CSG and LCM developments</w:t>
      </w:r>
      <w:r w:rsidR="008B50BF" w:rsidRPr="00793151">
        <w:rPr>
          <w:lang w:val="en-AU"/>
        </w:rPr>
        <w:t xml:space="preserve"> </w:t>
      </w:r>
      <w:r w:rsidR="00850409" w:rsidRPr="00793151">
        <w:rPr>
          <w:lang w:val="en-AU"/>
        </w:rPr>
        <w:t xml:space="preserve">and includes </w:t>
      </w:r>
      <w:r w:rsidR="008B50BF" w:rsidRPr="00793151">
        <w:rPr>
          <w:lang w:val="en-AU"/>
        </w:rPr>
        <w:t xml:space="preserve">example scenarios </w:t>
      </w:r>
      <w:r w:rsidR="00850409" w:rsidRPr="00793151">
        <w:rPr>
          <w:lang w:val="en-AU"/>
        </w:rPr>
        <w:t>to demonstrate analysis and presentation techniques</w:t>
      </w:r>
      <w:r w:rsidRPr="00793151">
        <w:rPr>
          <w:lang w:val="en-AU"/>
        </w:rPr>
        <w:t>.</w:t>
      </w:r>
      <w:r w:rsidR="00FB3BB6" w:rsidRPr="00793151">
        <w:rPr>
          <w:lang w:val="en-AU"/>
        </w:rPr>
        <w:t xml:space="preserve"> It is designed to provide a ‘line-of-sight’ to support proponent’s statements and assertions within an EIA. </w:t>
      </w:r>
      <w:r w:rsidR="0082617A" w:rsidRPr="002A7BAB">
        <w:rPr>
          <w:lang w:val="en-AU"/>
        </w:rPr>
        <w:t xml:space="preserve">This </w:t>
      </w:r>
      <w:r w:rsidR="0082617A" w:rsidRPr="006F4023">
        <w:rPr>
          <w:lang w:val="en-AU"/>
        </w:rPr>
        <w:t>Explanat</w:t>
      </w:r>
      <w:r w:rsidR="0082617A" w:rsidRPr="00793151">
        <w:rPr>
          <w:lang w:val="en-AU"/>
        </w:rPr>
        <w:t xml:space="preserve">ory </w:t>
      </w:r>
      <w:r w:rsidR="0082617A" w:rsidRPr="002A7BAB">
        <w:rPr>
          <w:lang w:val="en-AU"/>
        </w:rPr>
        <w:t xml:space="preserve">Note cover the types of geological, hydrogeological, and modelling assessments needed to assess the risks posed </w:t>
      </w:r>
      <w:r w:rsidR="0082617A" w:rsidRPr="006F4023">
        <w:rPr>
          <w:lang w:val="en-AU"/>
        </w:rPr>
        <w:t xml:space="preserve">by projects </w:t>
      </w:r>
      <w:r w:rsidR="0082617A" w:rsidRPr="002A7BAB">
        <w:rPr>
          <w:lang w:val="en-AU"/>
        </w:rPr>
        <w:t>to groundwater assets</w:t>
      </w:r>
      <w:r w:rsidR="0082617A" w:rsidRPr="006F4023">
        <w:rPr>
          <w:lang w:val="en-AU"/>
        </w:rPr>
        <w:t xml:space="preserve"> due to faulting</w:t>
      </w:r>
      <w:r w:rsidR="0082617A" w:rsidRPr="002A7BAB">
        <w:rPr>
          <w:lang w:val="en-AU"/>
        </w:rPr>
        <w:t xml:space="preserve">, </w:t>
      </w:r>
      <w:r w:rsidR="00793151">
        <w:rPr>
          <w:lang w:val="en-AU"/>
        </w:rPr>
        <w:t xml:space="preserve">and whilst it is a guide, </w:t>
      </w:r>
      <w:r w:rsidR="0082617A" w:rsidRPr="002A7BAB">
        <w:rPr>
          <w:lang w:val="en-AU"/>
        </w:rPr>
        <w:t xml:space="preserve">it is not </w:t>
      </w:r>
      <w:r w:rsidR="0082617A" w:rsidRPr="006F4023">
        <w:rPr>
          <w:lang w:val="en-AU"/>
        </w:rPr>
        <w:t>a ‘Guideline</w:t>
      </w:r>
      <w:r w:rsidR="0082617A" w:rsidRPr="00793151">
        <w:rPr>
          <w:lang w:val="en-AU"/>
        </w:rPr>
        <w:t>’ or an ‘S</w:t>
      </w:r>
      <w:r w:rsidR="0082617A" w:rsidRPr="002A7BAB">
        <w:rPr>
          <w:lang w:val="en-AU"/>
        </w:rPr>
        <w:t>tandard</w:t>
      </w:r>
      <w:r w:rsidR="0082617A" w:rsidRPr="006F4023">
        <w:rPr>
          <w:lang w:val="en-AU"/>
        </w:rPr>
        <w:t>’</w:t>
      </w:r>
      <w:r w:rsidR="0082617A" w:rsidRPr="002A7BAB">
        <w:rPr>
          <w:lang w:val="en-AU"/>
        </w:rPr>
        <w:t xml:space="preserve">. </w:t>
      </w:r>
      <w:r w:rsidR="0082617A" w:rsidRPr="006F4023">
        <w:rPr>
          <w:lang w:val="en-AU"/>
        </w:rPr>
        <w:t xml:space="preserve">Completing such </w:t>
      </w:r>
      <w:r w:rsidR="00793151">
        <w:rPr>
          <w:lang w:val="en-AU"/>
        </w:rPr>
        <w:t xml:space="preserve">impact </w:t>
      </w:r>
      <w:r w:rsidR="0082617A" w:rsidRPr="006F4023">
        <w:rPr>
          <w:lang w:val="en-AU"/>
        </w:rPr>
        <w:t>assessment</w:t>
      </w:r>
      <w:r w:rsidR="00793151">
        <w:rPr>
          <w:lang w:val="en-AU"/>
        </w:rPr>
        <w:t>s</w:t>
      </w:r>
      <w:r w:rsidR="0082617A" w:rsidRPr="006F4023">
        <w:rPr>
          <w:lang w:val="en-AU"/>
        </w:rPr>
        <w:t xml:space="preserve"> </w:t>
      </w:r>
      <w:r w:rsidR="0082617A" w:rsidRPr="00793151">
        <w:rPr>
          <w:lang w:val="en-AU"/>
        </w:rPr>
        <w:t xml:space="preserve">requires professional judgement and the </w:t>
      </w:r>
      <w:r w:rsidR="00FB3BB6" w:rsidRPr="00793151">
        <w:rPr>
          <w:lang w:val="en-AU"/>
        </w:rPr>
        <w:t xml:space="preserve">level of assessment </w:t>
      </w:r>
      <w:r w:rsidR="00793151">
        <w:rPr>
          <w:lang w:val="en-AU"/>
        </w:rPr>
        <w:t xml:space="preserve">required </w:t>
      </w:r>
      <w:r w:rsidR="00FB3BB6" w:rsidRPr="00793151">
        <w:rPr>
          <w:lang w:val="en-AU"/>
        </w:rPr>
        <w:t xml:space="preserve">will vary depending on the proposed development, and the local setting. </w:t>
      </w:r>
    </w:p>
    <w:p w14:paraId="6BB24BA8" w14:textId="5D386117" w:rsidR="00FC261A" w:rsidRPr="00793151" w:rsidRDefault="00FC261A" w:rsidP="00BF6984">
      <w:pPr>
        <w:pStyle w:val="BodyText"/>
        <w:rPr>
          <w:lang w:val="en-AU"/>
        </w:rPr>
      </w:pPr>
      <w:r w:rsidRPr="00793151">
        <w:rPr>
          <w:lang w:val="en-AU"/>
        </w:rPr>
        <w:t>Geological faults are displacements within otherwise intact rock material. They are normally described using their orientation</w:t>
      </w:r>
      <w:r w:rsidR="004C5A9C" w:rsidRPr="00793151">
        <w:rPr>
          <w:lang w:val="en-AU"/>
        </w:rPr>
        <w:t>, amount and sense of displacement,</w:t>
      </w:r>
      <w:r w:rsidRPr="00793151">
        <w:rPr>
          <w:lang w:val="en-AU"/>
        </w:rPr>
        <w:t xml:space="preserve"> and the character of the rock materials </w:t>
      </w:r>
      <w:r w:rsidR="004C5A9C" w:rsidRPr="00793151">
        <w:rPr>
          <w:lang w:val="en-AU"/>
        </w:rPr>
        <w:t>they displace</w:t>
      </w:r>
      <w:r w:rsidRPr="00793151">
        <w:rPr>
          <w:lang w:val="en-AU"/>
        </w:rPr>
        <w:t xml:space="preserve">. The data that can be used to find and define faults </w:t>
      </w:r>
      <w:r w:rsidR="004C5A9C" w:rsidRPr="00793151">
        <w:rPr>
          <w:lang w:val="en-AU"/>
        </w:rPr>
        <w:t>can be sparse or have limited resolution</w:t>
      </w:r>
      <w:r w:rsidRPr="00793151">
        <w:rPr>
          <w:lang w:val="en-AU"/>
        </w:rPr>
        <w:t xml:space="preserve">, and because of this, there are usually significant uncertainties regarding their </w:t>
      </w:r>
      <w:r w:rsidR="0056684D" w:rsidRPr="00793151">
        <w:rPr>
          <w:lang w:val="en-AU"/>
        </w:rPr>
        <w:t xml:space="preserve">geometry, </w:t>
      </w:r>
      <w:r w:rsidR="00793151" w:rsidRPr="00793151">
        <w:rPr>
          <w:lang w:val="en-AU"/>
        </w:rPr>
        <w:t>kinematics,</w:t>
      </w:r>
      <w:r w:rsidR="0056684D" w:rsidRPr="00793151">
        <w:rPr>
          <w:lang w:val="en-AU"/>
        </w:rPr>
        <w:t xml:space="preserve"> and displacement characteristics</w:t>
      </w:r>
      <w:r w:rsidRPr="00793151">
        <w:rPr>
          <w:lang w:val="en-AU"/>
        </w:rPr>
        <w:t xml:space="preserve">. Although inherently variable, faults have a significant commonality of features and characteristics which can help make interpretations and inferences </w:t>
      </w:r>
      <w:r w:rsidR="00AB012A" w:rsidRPr="00793151">
        <w:rPr>
          <w:lang w:val="en-AU"/>
        </w:rPr>
        <w:t xml:space="preserve">about their influence on flow pathways </w:t>
      </w:r>
      <w:r w:rsidRPr="00793151">
        <w:rPr>
          <w:lang w:val="en-AU"/>
        </w:rPr>
        <w:t xml:space="preserve">more </w:t>
      </w:r>
      <w:r w:rsidR="007F2A78" w:rsidRPr="00793151">
        <w:rPr>
          <w:lang w:val="en-AU"/>
        </w:rPr>
        <w:t>comparative</w:t>
      </w:r>
      <w:r w:rsidRPr="00793151">
        <w:rPr>
          <w:lang w:val="en-AU"/>
        </w:rPr>
        <w:t xml:space="preserve">, when the data available for complete </w:t>
      </w:r>
      <w:r w:rsidR="00C4692C" w:rsidRPr="00793151">
        <w:rPr>
          <w:lang w:val="en-AU"/>
        </w:rPr>
        <w:t>characterisation</w:t>
      </w:r>
      <w:r w:rsidRPr="00793151">
        <w:rPr>
          <w:lang w:val="en-AU"/>
        </w:rPr>
        <w:t xml:space="preserve"> cannot be gathered. Faults are not perfectly planar or linear, and fault </w:t>
      </w:r>
      <w:r w:rsidR="0056684D" w:rsidRPr="00793151">
        <w:rPr>
          <w:lang w:val="en-AU"/>
        </w:rPr>
        <w:t xml:space="preserve">character </w:t>
      </w:r>
      <w:r w:rsidRPr="00793151">
        <w:rPr>
          <w:lang w:val="en-AU"/>
        </w:rPr>
        <w:t>may vary spatially and could change</w:t>
      </w:r>
      <w:r w:rsidR="00AB012A" w:rsidRPr="00793151">
        <w:rPr>
          <w:lang w:val="en-AU"/>
        </w:rPr>
        <w:t>, or potentially reactivate,</w:t>
      </w:r>
      <w:r w:rsidRPr="00793151">
        <w:rPr>
          <w:lang w:val="en-AU"/>
        </w:rPr>
        <w:t xml:space="preserve"> during a coal </w:t>
      </w:r>
      <w:r w:rsidR="00AB012A" w:rsidRPr="00793151">
        <w:rPr>
          <w:lang w:val="en-AU"/>
        </w:rPr>
        <w:t xml:space="preserve">or coal seam gas </w:t>
      </w:r>
      <w:r w:rsidRPr="00793151">
        <w:rPr>
          <w:lang w:val="en-AU"/>
        </w:rPr>
        <w:t xml:space="preserve">development project. </w:t>
      </w:r>
      <w:r w:rsidR="007E17F0" w:rsidRPr="00793151">
        <w:rPr>
          <w:lang w:val="en-AU"/>
        </w:rPr>
        <w:t xml:space="preserve"> Hence, the </w:t>
      </w:r>
      <w:r w:rsidRPr="00793151">
        <w:rPr>
          <w:lang w:val="en-AU"/>
        </w:rPr>
        <w:t xml:space="preserve">same fault may form a fluid flow barrier in some </w:t>
      </w:r>
      <w:r w:rsidR="0056684D" w:rsidRPr="00793151">
        <w:rPr>
          <w:lang w:val="en-AU"/>
        </w:rPr>
        <w:t xml:space="preserve">locations </w:t>
      </w:r>
      <w:r w:rsidRPr="00793151">
        <w:rPr>
          <w:lang w:val="en-AU"/>
        </w:rPr>
        <w:t xml:space="preserve">along its </w:t>
      </w:r>
      <w:r w:rsidR="009A65B1" w:rsidRPr="00793151">
        <w:rPr>
          <w:lang w:val="en-AU"/>
        </w:rPr>
        <w:t xml:space="preserve">length </w:t>
      </w:r>
      <w:r w:rsidRPr="00793151">
        <w:rPr>
          <w:lang w:val="en-AU"/>
        </w:rPr>
        <w:t xml:space="preserve">while enabling or enhancing flow at other </w:t>
      </w:r>
      <w:r w:rsidR="0056684D" w:rsidRPr="00793151">
        <w:rPr>
          <w:lang w:val="en-AU"/>
        </w:rPr>
        <w:t>locations</w:t>
      </w:r>
      <w:r w:rsidRPr="00793151">
        <w:rPr>
          <w:lang w:val="en-AU"/>
        </w:rPr>
        <w:t>.</w:t>
      </w:r>
    </w:p>
    <w:p w14:paraId="4D940E8B" w14:textId="4BAF601F" w:rsidR="009F23D8" w:rsidRPr="00793151" w:rsidRDefault="009F23D8" w:rsidP="00BF6984">
      <w:pPr>
        <w:pStyle w:val="BodyText"/>
        <w:rPr>
          <w:lang w:val="en-AU"/>
        </w:rPr>
      </w:pPr>
      <w:r w:rsidRPr="00793151">
        <w:rPr>
          <w:lang w:val="en-AU"/>
        </w:rPr>
        <w:t xml:space="preserve">To describe faults, how they can be </w:t>
      </w:r>
      <w:proofErr w:type="gramStart"/>
      <w:r w:rsidRPr="00793151">
        <w:rPr>
          <w:lang w:val="en-AU"/>
        </w:rPr>
        <w:t>investigated</w:t>
      </w:r>
      <w:proofErr w:type="gramEnd"/>
      <w:r w:rsidRPr="00793151">
        <w:rPr>
          <w:lang w:val="en-AU"/>
        </w:rPr>
        <w:t xml:space="preserve"> and their hydrogeological significance assessed requires technical terminology. A Glossary of terms is provided after the main body of the report to assist the reader, and the reference list provides details of key texts on structural geology and fault analysis.</w:t>
      </w:r>
    </w:p>
    <w:p w14:paraId="320D5CF3" w14:textId="77777777" w:rsidR="00FC261A" w:rsidRPr="00793151" w:rsidRDefault="00FC261A" w:rsidP="00793655">
      <w:pPr>
        <w:pStyle w:val="Heading2Numbered"/>
      </w:pPr>
      <w:bookmarkStart w:id="32" w:name="_Toc42765080"/>
      <w:bookmarkStart w:id="33" w:name="_Toc66967168"/>
      <w:r w:rsidRPr="00793151">
        <w:t>Why do faults matter?</w:t>
      </w:r>
      <w:bookmarkEnd w:id="32"/>
      <w:bookmarkEnd w:id="33"/>
    </w:p>
    <w:p w14:paraId="0F60F00D" w14:textId="0D8D594B" w:rsidR="00180CBE" w:rsidRPr="00793151" w:rsidRDefault="00D0020E" w:rsidP="00BF6984">
      <w:pPr>
        <w:pStyle w:val="BodyText"/>
        <w:rPr>
          <w:lang w:val="en-AU"/>
        </w:rPr>
      </w:pPr>
      <w:r w:rsidRPr="00793151">
        <w:rPr>
          <w:lang w:val="en-AU"/>
        </w:rPr>
        <w:t xml:space="preserve">In addition to influencing the geotechnical stability of strata, characterising </w:t>
      </w:r>
      <w:r w:rsidR="00FC261A" w:rsidRPr="00793151">
        <w:rPr>
          <w:lang w:val="en-AU"/>
        </w:rPr>
        <w:t xml:space="preserve">geological faults within and near CSG and LCM projects is important because the faults may potentially </w:t>
      </w:r>
      <w:r w:rsidR="00233990" w:rsidRPr="00793151">
        <w:rPr>
          <w:lang w:val="en-AU"/>
        </w:rPr>
        <w:t xml:space="preserve">influence </w:t>
      </w:r>
      <w:r w:rsidR="00F43559" w:rsidRPr="00793151">
        <w:rPr>
          <w:lang w:val="en-AU"/>
        </w:rPr>
        <w:t xml:space="preserve">the </w:t>
      </w:r>
      <w:r w:rsidR="00FC261A" w:rsidRPr="00793151">
        <w:rPr>
          <w:lang w:val="en-AU"/>
        </w:rPr>
        <w:t xml:space="preserve">groundwater flow connection between </w:t>
      </w:r>
      <w:r w:rsidR="00A16284" w:rsidRPr="00793151">
        <w:rPr>
          <w:lang w:val="en-AU"/>
        </w:rPr>
        <w:t xml:space="preserve">the extraction </w:t>
      </w:r>
      <w:r w:rsidR="00364A66" w:rsidRPr="00793151">
        <w:rPr>
          <w:lang w:val="en-AU"/>
        </w:rPr>
        <w:t>target</w:t>
      </w:r>
      <w:r w:rsidR="00FC261A" w:rsidRPr="00793151">
        <w:rPr>
          <w:lang w:val="en-AU"/>
        </w:rPr>
        <w:t xml:space="preserve"> and key assets such as aquifers, </w:t>
      </w:r>
      <w:proofErr w:type="gramStart"/>
      <w:r w:rsidR="00FC261A" w:rsidRPr="00793151">
        <w:rPr>
          <w:lang w:val="en-AU"/>
        </w:rPr>
        <w:t>springs</w:t>
      </w:r>
      <w:proofErr w:type="gramEnd"/>
      <w:r w:rsidR="00FC261A" w:rsidRPr="00793151">
        <w:rPr>
          <w:lang w:val="en-AU"/>
        </w:rPr>
        <w:t xml:space="preserve"> and </w:t>
      </w:r>
      <w:r w:rsidR="00AB05CE" w:rsidRPr="00793151">
        <w:rPr>
          <w:lang w:val="en-AU"/>
        </w:rPr>
        <w:t>Groundwater Dependent Ecosystems (</w:t>
      </w:r>
      <w:r w:rsidR="00FC261A" w:rsidRPr="00793151">
        <w:rPr>
          <w:lang w:val="en-AU"/>
        </w:rPr>
        <w:t>GDEs</w:t>
      </w:r>
      <w:r w:rsidR="00AB05CE" w:rsidRPr="00793151">
        <w:rPr>
          <w:lang w:val="en-AU"/>
        </w:rPr>
        <w:t>)</w:t>
      </w:r>
      <w:r w:rsidR="00FC261A" w:rsidRPr="00793151">
        <w:rPr>
          <w:lang w:val="en-AU"/>
        </w:rPr>
        <w:t xml:space="preserve">. </w:t>
      </w:r>
      <w:r w:rsidR="00180CBE" w:rsidRPr="00793151">
        <w:rPr>
          <w:lang w:val="en-AU"/>
        </w:rPr>
        <w:t xml:space="preserve">There are </w:t>
      </w:r>
      <w:r w:rsidR="004C6FB0" w:rsidRPr="00793151">
        <w:rPr>
          <w:lang w:val="en-AU"/>
        </w:rPr>
        <w:t>several</w:t>
      </w:r>
      <w:r w:rsidR="00180CBE" w:rsidRPr="00793151">
        <w:rPr>
          <w:lang w:val="en-AU"/>
        </w:rPr>
        <w:t xml:space="preserve"> mechanisms by which geological faults can influence connectivity</w:t>
      </w:r>
      <w:r w:rsidR="001E1BD7" w:rsidRPr="00793151">
        <w:rPr>
          <w:lang w:val="en-AU"/>
        </w:rPr>
        <w:t xml:space="preserve"> (also see Figure 1)</w:t>
      </w:r>
      <w:r w:rsidR="00180CBE" w:rsidRPr="00793151">
        <w:rPr>
          <w:lang w:val="en-AU"/>
        </w:rPr>
        <w:t>:</w:t>
      </w:r>
    </w:p>
    <w:p w14:paraId="27C9DE50" w14:textId="22A91148" w:rsidR="004C6FB0" w:rsidRPr="00793151" w:rsidRDefault="001E1BD7" w:rsidP="004C6FB0">
      <w:pPr>
        <w:pStyle w:val="06DOTPOINTS"/>
        <w:numPr>
          <w:ilvl w:val="0"/>
          <w:numId w:val="6"/>
        </w:numPr>
        <w:spacing w:line="240" w:lineRule="auto"/>
        <w:rPr>
          <w:rFonts w:ascii="Garamond" w:hAnsi="Garamond"/>
        </w:rPr>
      </w:pPr>
      <w:r w:rsidRPr="00793151">
        <w:rPr>
          <w:rFonts w:ascii="Garamond" w:hAnsi="Garamond"/>
        </w:rPr>
        <w:t>f</w:t>
      </w:r>
      <w:r w:rsidR="004C6FB0" w:rsidRPr="00793151">
        <w:rPr>
          <w:rFonts w:ascii="Garamond" w:hAnsi="Garamond"/>
        </w:rPr>
        <w:t>low can occur through the core of a fault, provid</w:t>
      </w:r>
      <w:r w:rsidRPr="00793151">
        <w:rPr>
          <w:rFonts w:ascii="Garamond" w:hAnsi="Garamond"/>
        </w:rPr>
        <w:t>ing</w:t>
      </w:r>
      <w:r w:rsidR="004C6FB0" w:rsidRPr="00793151">
        <w:rPr>
          <w:rFonts w:ascii="Garamond" w:hAnsi="Garamond"/>
        </w:rPr>
        <w:t xml:space="preserve"> a pathway for groundwater movement and pressure </w:t>
      </w:r>
      <w:proofErr w:type="gramStart"/>
      <w:r w:rsidR="004C6FB0" w:rsidRPr="00793151">
        <w:rPr>
          <w:rFonts w:ascii="Garamond" w:hAnsi="Garamond"/>
        </w:rPr>
        <w:t>propagation;</w:t>
      </w:r>
      <w:proofErr w:type="gramEnd"/>
    </w:p>
    <w:p w14:paraId="5AF53B42" w14:textId="02A749D9" w:rsidR="004C6FB0" w:rsidRPr="00793151" w:rsidRDefault="001E1BD7" w:rsidP="004C6FB0">
      <w:pPr>
        <w:pStyle w:val="06DOTPOINTS"/>
        <w:numPr>
          <w:ilvl w:val="0"/>
          <w:numId w:val="6"/>
        </w:numPr>
        <w:spacing w:line="240" w:lineRule="auto"/>
        <w:rPr>
          <w:rFonts w:ascii="Garamond" w:hAnsi="Garamond"/>
        </w:rPr>
      </w:pPr>
      <w:r w:rsidRPr="00793151">
        <w:rPr>
          <w:rFonts w:ascii="Garamond" w:hAnsi="Garamond"/>
        </w:rPr>
        <w:t>t</w:t>
      </w:r>
      <w:r w:rsidR="004C6FB0" w:rsidRPr="00793151">
        <w:rPr>
          <w:rFonts w:ascii="Garamond" w:hAnsi="Garamond"/>
        </w:rPr>
        <w:t xml:space="preserve">he </w:t>
      </w:r>
      <w:r w:rsidR="00C272FD" w:rsidRPr="00793151">
        <w:rPr>
          <w:rFonts w:ascii="Garamond" w:hAnsi="Garamond"/>
        </w:rPr>
        <w:t xml:space="preserve">damage </w:t>
      </w:r>
      <w:r w:rsidR="004C6FB0" w:rsidRPr="00793151">
        <w:rPr>
          <w:rFonts w:ascii="Garamond" w:hAnsi="Garamond"/>
        </w:rPr>
        <w:t>zone around the fault core</w:t>
      </w:r>
      <w:r w:rsidRPr="00793151">
        <w:rPr>
          <w:rFonts w:ascii="Garamond" w:hAnsi="Garamond"/>
        </w:rPr>
        <w:t xml:space="preserve"> may also </w:t>
      </w:r>
      <w:r w:rsidR="00233990" w:rsidRPr="00793151">
        <w:rPr>
          <w:rFonts w:ascii="Garamond" w:hAnsi="Garamond"/>
        </w:rPr>
        <w:t xml:space="preserve">provide </w:t>
      </w:r>
      <w:r w:rsidR="00A441B4" w:rsidRPr="00793151">
        <w:rPr>
          <w:rFonts w:ascii="Garamond" w:hAnsi="Garamond"/>
        </w:rPr>
        <w:t xml:space="preserve">preferential </w:t>
      </w:r>
      <w:proofErr w:type="gramStart"/>
      <w:r w:rsidR="00A441B4" w:rsidRPr="00793151">
        <w:rPr>
          <w:rFonts w:ascii="Garamond" w:hAnsi="Garamond"/>
        </w:rPr>
        <w:t>flows;</w:t>
      </w:r>
      <w:proofErr w:type="gramEnd"/>
    </w:p>
    <w:p w14:paraId="3EA6044C" w14:textId="2BAE3F2A" w:rsidR="004C6FB0" w:rsidRPr="00793151" w:rsidRDefault="00A441B4" w:rsidP="004C6FB0">
      <w:pPr>
        <w:pStyle w:val="06DOTPOINTS"/>
        <w:numPr>
          <w:ilvl w:val="0"/>
          <w:numId w:val="6"/>
        </w:numPr>
        <w:spacing w:line="240" w:lineRule="auto"/>
        <w:rPr>
          <w:rFonts w:ascii="Garamond" w:hAnsi="Garamond"/>
        </w:rPr>
      </w:pPr>
      <w:r w:rsidRPr="00793151">
        <w:rPr>
          <w:rFonts w:ascii="Garamond" w:hAnsi="Garamond"/>
        </w:rPr>
        <w:t>w</w:t>
      </w:r>
      <w:r w:rsidR="004C6FB0" w:rsidRPr="00793151">
        <w:rPr>
          <w:rFonts w:ascii="Garamond" w:hAnsi="Garamond"/>
        </w:rPr>
        <w:t>here sufficient offset exists, faults can directly connect aquifers across aquitards;</w:t>
      </w:r>
      <w:r w:rsidRPr="00793151">
        <w:rPr>
          <w:rFonts w:ascii="Garamond" w:hAnsi="Garamond"/>
        </w:rPr>
        <w:t xml:space="preserve"> and</w:t>
      </w:r>
    </w:p>
    <w:p w14:paraId="161855F3" w14:textId="06693667" w:rsidR="004C6FB0" w:rsidRPr="00793151" w:rsidRDefault="00A441B4" w:rsidP="004C6FB0">
      <w:pPr>
        <w:pStyle w:val="06DOTPOINTS"/>
        <w:numPr>
          <w:ilvl w:val="0"/>
          <w:numId w:val="6"/>
        </w:numPr>
        <w:spacing w:line="240" w:lineRule="auto"/>
        <w:rPr>
          <w:rFonts w:ascii="Garamond" w:hAnsi="Garamond"/>
        </w:rPr>
      </w:pPr>
      <w:r w:rsidRPr="00793151">
        <w:rPr>
          <w:rFonts w:ascii="Garamond" w:hAnsi="Garamond"/>
        </w:rPr>
        <w:t>c</w:t>
      </w:r>
      <w:r w:rsidR="004C6FB0" w:rsidRPr="00793151">
        <w:rPr>
          <w:rFonts w:ascii="Garamond" w:hAnsi="Garamond"/>
        </w:rPr>
        <w:t xml:space="preserve">onversely, </w:t>
      </w:r>
      <w:r w:rsidRPr="00793151">
        <w:rPr>
          <w:rFonts w:ascii="Garamond" w:hAnsi="Garamond"/>
        </w:rPr>
        <w:t>where there is a disconnect between aquifers, faults may be a barrier to groundwater flow</w:t>
      </w:r>
      <w:r w:rsidR="005120BF" w:rsidRPr="00793151">
        <w:rPr>
          <w:rFonts w:ascii="Garamond" w:hAnsi="Garamond"/>
        </w:rPr>
        <w:t>.</w:t>
      </w:r>
    </w:p>
    <w:p w14:paraId="45B3A5ED" w14:textId="6ACA725E" w:rsidR="00386DC3" w:rsidRPr="00793151" w:rsidRDefault="009F23D8" w:rsidP="00BF6984">
      <w:pPr>
        <w:pStyle w:val="BodyText"/>
        <w:rPr>
          <w:lang w:val="en-AU"/>
        </w:rPr>
      </w:pPr>
      <w:r w:rsidRPr="00793151">
        <w:rPr>
          <w:lang w:val="en-AU"/>
        </w:rPr>
        <w:t>Changes in pressure, f</w:t>
      </w:r>
      <w:r w:rsidR="00386DC3" w:rsidRPr="00793151">
        <w:rPr>
          <w:lang w:val="en-AU"/>
        </w:rPr>
        <w:t xml:space="preserve">or example, </w:t>
      </w:r>
      <w:r w:rsidRPr="00793151">
        <w:rPr>
          <w:lang w:val="en-AU"/>
        </w:rPr>
        <w:t xml:space="preserve">due to </w:t>
      </w:r>
      <w:r w:rsidR="00FC261A" w:rsidRPr="00793151">
        <w:rPr>
          <w:lang w:val="en-AU"/>
        </w:rPr>
        <w:t xml:space="preserve">groundwater </w:t>
      </w:r>
      <w:r w:rsidRPr="00793151">
        <w:rPr>
          <w:lang w:val="en-AU"/>
        </w:rPr>
        <w:t xml:space="preserve">extraction </w:t>
      </w:r>
      <w:r w:rsidR="00FC261A" w:rsidRPr="00793151">
        <w:rPr>
          <w:lang w:val="en-AU"/>
        </w:rPr>
        <w:t xml:space="preserve">during mining or </w:t>
      </w:r>
      <w:r w:rsidR="0043282F" w:rsidRPr="00793151">
        <w:rPr>
          <w:lang w:val="en-AU"/>
        </w:rPr>
        <w:t xml:space="preserve">gas </w:t>
      </w:r>
      <w:r w:rsidR="00FC261A" w:rsidRPr="00793151">
        <w:rPr>
          <w:lang w:val="en-AU"/>
        </w:rPr>
        <w:t xml:space="preserve">extraction can potentially activate or </w:t>
      </w:r>
      <w:r w:rsidR="005C6CBC" w:rsidRPr="00793151">
        <w:rPr>
          <w:lang w:val="en-AU"/>
        </w:rPr>
        <w:t>produce</w:t>
      </w:r>
      <w:r w:rsidR="00FC261A" w:rsidRPr="00793151">
        <w:rPr>
          <w:lang w:val="en-AU"/>
        </w:rPr>
        <w:t xml:space="preserve"> flow along pathways that were not active prior to development. The</w:t>
      </w:r>
      <w:r w:rsidR="005E5656" w:rsidRPr="00793151">
        <w:rPr>
          <w:lang w:val="en-AU"/>
        </w:rPr>
        <w:t xml:space="preserve">re is also a </w:t>
      </w:r>
      <w:r w:rsidR="00FC261A" w:rsidRPr="00793151">
        <w:rPr>
          <w:lang w:val="en-AU"/>
        </w:rPr>
        <w:t xml:space="preserve">possibility </w:t>
      </w:r>
      <w:r w:rsidR="005E5656" w:rsidRPr="00793151">
        <w:rPr>
          <w:lang w:val="en-AU"/>
        </w:rPr>
        <w:t>that</w:t>
      </w:r>
      <w:r w:rsidR="00FC261A" w:rsidRPr="00793151">
        <w:rPr>
          <w:lang w:val="en-AU"/>
        </w:rPr>
        <w:t xml:space="preserve"> fault movement and </w:t>
      </w:r>
      <w:r w:rsidR="003A6EB6" w:rsidRPr="00793151">
        <w:rPr>
          <w:lang w:val="en-AU"/>
        </w:rPr>
        <w:t>hydraulic head</w:t>
      </w:r>
      <w:r w:rsidR="00FC261A" w:rsidRPr="00793151">
        <w:rPr>
          <w:lang w:val="en-AU"/>
        </w:rPr>
        <w:t xml:space="preserve"> changes can connect and increase flows, or conversely, disconnect and isolate parts of groundwater systems. </w:t>
      </w:r>
      <w:r w:rsidR="00F43559" w:rsidRPr="00793151">
        <w:rPr>
          <w:lang w:val="en-AU"/>
        </w:rPr>
        <w:t xml:space="preserve">Ignoring the presence of a fault may also lead to significant </w:t>
      </w:r>
      <w:r w:rsidR="00233990" w:rsidRPr="00793151">
        <w:rPr>
          <w:lang w:val="en-AU"/>
        </w:rPr>
        <w:t>errors in the estimates</w:t>
      </w:r>
      <w:r w:rsidR="00F43559" w:rsidRPr="00793151">
        <w:rPr>
          <w:lang w:val="en-AU"/>
        </w:rPr>
        <w:t xml:space="preserve"> of drawdown impacts if the fault forms a barrier to areas of groundwater recharge.</w:t>
      </w:r>
    </w:p>
    <w:p w14:paraId="339C6AD9" w14:textId="77777777" w:rsidR="003F0FAB" w:rsidRDefault="004C6FB0" w:rsidP="003F0FAB">
      <w:pPr>
        <w:pStyle w:val="BodyText"/>
        <w:keepNext/>
        <w:jc w:val="center"/>
      </w:pPr>
      <w:r w:rsidRPr="006F4023">
        <w:rPr>
          <w:noProof/>
          <w:lang w:val="en-AU" w:eastAsia="en-AU"/>
        </w:rPr>
        <w:lastRenderedPageBreak/>
        <w:drawing>
          <wp:inline distT="0" distB="0" distL="0" distR="0" wp14:anchorId="1EF37096" wp14:editId="0C07042F">
            <wp:extent cx="2793078" cy="2087245"/>
            <wp:effectExtent l="0" t="0" r="762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9673" t="11581"/>
                    <a:stretch/>
                  </pic:blipFill>
                  <pic:spPr bwMode="auto">
                    <a:xfrm>
                      <a:off x="0" y="0"/>
                      <a:ext cx="2825523" cy="2111491"/>
                    </a:xfrm>
                    <a:prstGeom prst="rect">
                      <a:avLst/>
                    </a:prstGeom>
                    <a:ln>
                      <a:noFill/>
                    </a:ln>
                    <a:extLst>
                      <a:ext uri="{53640926-AAD7-44D8-BBD7-CCE9431645EC}">
                        <a14:shadowObscured xmlns:a14="http://schemas.microsoft.com/office/drawing/2010/main"/>
                      </a:ext>
                    </a:extLst>
                  </pic:spPr>
                </pic:pic>
              </a:graphicData>
            </a:graphic>
          </wp:inline>
        </w:drawing>
      </w:r>
    </w:p>
    <w:p w14:paraId="7BB06182" w14:textId="6A02B370" w:rsidR="004C6FB0" w:rsidRPr="006F4023" w:rsidRDefault="003F0FAB" w:rsidP="003F0FAB">
      <w:pPr>
        <w:pStyle w:val="Caption"/>
      </w:pPr>
      <w:r>
        <w:t xml:space="preserve">Figure </w:t>
      </w:r>
      <w:fldSimple w:instr=" SEQ Figure \* ARABIC ">
        <w:r w:rsidR="00047351">
          <w:rPr>
            <w:noProof/>
          </w:rPr>
          <w:t>1</w:t>
        </w:r>
      </w:fldSimple>
      <w:r>
        <w:t xml:space="preserve">: </w:t>
      </w:r>
      <w:r w:rsidRPr="00671E25">
        <w:t>Influence of faults on preferential groundwater flow paths schematic (</w:t>
      </w:r>
      <w:proofErr w:type="spellStart"/>
      <w:r w:rsidRPr="00671E25">
        <w:t>Bense</w:t>
      </w:r>
      <w:proofErr w:type="spellEnd"/>
      <w:r w:rsidRPr="00671E25">
        <w:t xml:space="preserve"> et. al 2013, after Caine et. al. 1996).</w:t>
      </w:r>
    </w:p>
    <w:p w14:paraId="17F15229" w14:textId="73926752" w:rsidR="00FC261A" w:rsidRPr="00793151" w:rsidRDefault="00FC261A" w:rsidP="00BF6984">
      <w:pPr>
        <w:pStyle w:val="BodyText"/>
        <w:rPr>
          <w:lang w:val="en-AU"/>
        </w:rPr>
      </w:pPr>
      <w:r w:rsidRPr="00793151">
        <w:rPr>
          <w:lang w:val="en-AU"/>
        </w:rPr>
        <w:t xml:space="preserve">It is possible that faults could </w:t>
      </w:r>
      <w:r w:rsidR="00386DC3" w:rsidRPr="00793151">
        <w:rPr>
          <w:lang w:val="en-AU"/>
        </w:rPr>
        <w:t>increase</w:t>
      </w:r>
      <w:r w:rsidRPr="00793151">
        <w:rPr>
          <w:lang w:val="en-AU"/>
        </w:rPr>
        <w:t xml:space="preserve"> groundwater flows in a particular direction</w:t>
      </w:r>
      <w:r w:rsidR="00850409" w:rsidRPr="00793151">
        <w:rPr>
          <w:lang w:val="en-AU"/>
        </w:rPr>
        <w:t xml:space="preserve"> and propagate </w:t>
      </w:r>
      <w:r w:rsidR="002D7F95" w:rsidRPr="00793151">
        <w:rPr>
          <w:lang w:val="en-AU"/>
        </w:rPr>
        <w:t>drawdown</w:t>
      </w:r>
      <w:r w:rsidRPr="00793151">
        <w:rPr>
          <w:lang w:val="en-AU"/>
        </w:rPr>
        <w:t xml:space="preserve">. </w:t>
      </w:r>
      <w:r w:rsidR="0043282F" w:rsidRPr="00793151">
        <w:rPr>
          <w:lang w:val="en-AU"/>
        </w:rPr>
        <w:t>Conversely</w:t>
      </w:r>
      <w:r w:rsidRPr="00793151">
        <w:rPr>
          <w:lang w:val="en-AU"/>
        </w:rPr>
        <w:t xml:space="preserve">, </w:t>
      </w:r>
      <w:r w:rsidR="00AB540E" w:rsidRPr="00793151">
        <w:rPr>
          <w:lang w:val="en-AU"/>
        </w:rPr>
        <w:t xml:space="preserve">it </w:t>
      </w:r>
      <w:r w:rsidR="00850409" w:rsidRPr="00793151">
        <w:rPr>
          <w:lang w:val="en-AU"/>
        </w:rPr>
        <w:t xml:space="preserve">may be </w:t>
      </w:r>
      <w:r w:rsidRPr="00793151">
        <w:rPr>
          <w:lang w:val="en-AU"/>
        </w:rPr>
        <w:t xml:space="preserve">shown that the risk of significant changes to the pre-development recharge, discharge and flow for groundwater assets is </w:t>
      </w:r>
      <w:r w:rsidR="00031802" w:rsidRPr="00793151">
        <w:rPr>
          <w:lang w:val="en-AU"/>
        </w:rPr>
        <w:t>minimal</w:t>
      </w:r>
      <w:r w:rsidRPr="00793151">
        <w:rPr>
          <w:lang w:val="en-AU"/>
        </w:rPr>
        <w:t xml:space="preserve"> or at an acceptable level. Risks are negligible for example, where there is evidence that groundwater assets and the receptor sites (</w:t>
      </w:r>
      <w:proofErr w:type="gramStart"/>
      <w:r w:rsidRPr="00793151">
        <w:rPr>
          <w:lang w:val="en-AU"/>
        </w:rPr>
        <w:t>i.e.</w:t>
      </w:r>
      <w:proofErr w:type="gramEnd"/>
      <w:r w:rsidRPr="00793151">
        <w:rPr>
          <w:lang w:val="en-AU"/>
        </w:rPr>
        <w:t xml:space="preserve"> GDEs) are separated by thick aquitards that limit significant flow. The risks may also be negligible when the </w:t>
      </w:r>
      <w:r w:rsidR="00850409" w:rsidRPr="00793151">
        <w:rPr>
          <w:lang w:val="en-AU"/>
        </w:rPr>
        <w:t xml:space="preserve">displacement on </w:t>
      </w:r>
      <w:r w:rsidRPr="00793151">
        <w:rPr>
          <w:lang w:val="en-AU"/>
        </w:rPr>
        <w:t xml:space="preserve">faults </w:t>
      </w:r>
      <w:r w:rsidR="00850409" w:rsidRPr="00793151">
        <w:rPr>
          <w:lang w:val="en-AU"/>
        </w:rPr>
        <w:t xml:space="preserve">is </w:t>
      </w:r>
      <w:r w:rsidR="003D22FF" w:rsidRPr="00793151">
        <w:rPr>
          <w:lang w:val="en-AU"/>
        </w:rPr>
        <w:t>too small to cross flow barriers (</w:t>
      </w:r>
      <w:proofErr w:type="gramStart"/>
      <w:r w:rsidR="003D22FF" w:rsidRPr="00793151">
        <w:rPr>
          <w:lang w:val="en-AU"/>
        </w:rPr>
        <w:t>e.g.</w:t>
      </w:r>
      <w:proofErr w:type="gramEnd"/>
      <w:r w:rsidR="003D22FF" w:rsidRPr="00793151">
        <w:rPr>
          <w:lang w:val="en-AU"/>
        </w:rPr>
        <w:t xml:space="preserve"> aquitards)</w:t>
      </w:r>
      <w:r w:rsidRPr="00793151">
        <w:rPr>
          <w:lang w:val="en-AU"/>
        </w:rPr>
        <w:t xml:space="preserve">, thus not providing a significant flow pathway linking the assets to the coal seams or excavations. </w:t>
      </w:r>
    </w:p>
    <w:p w14:paraId="1FE9B94D" w14:textId="2A6964DD" w:rsidR="00FC261A" w:rsidRPr="00793151" w:rsidRDefault="0017232B" w:rsidP="00BF6984">
      <w:pPr>
        <w:pStyle w:val="BodyText"/>
        <w:rPr>
          <w:lang w:val="en-AU"/>
        </w:rPr>
      </w:pPr>
      <w:r w:rsidRPr="00793151">
        <w:rPr>
          <w:lang w:val="en-AU"/>
        </w:rPr>
        <w:t>S</w:t>
      </w:r>
      <w:r w:rsidR="00FC261A" w:rsidRPr="00793151">
        <w:rPr>
          <w:lang w:val="en-AU"/>
        </w:rPr>
        <w:t xml:space="preserve">ome types of mining and </w:t>
      </w:r>
      <w:r w:rsidRPr="00793151">
        <w:rPr>
          <w:lang w:val="en-AU"/>
        </w:rPr>
        <w:t xml:space="preserve">site </w:t>
      </w:r>
      <w:r w:rsidR="00FC261A" w:rsidRPr="00793151">
        <w:rPr>
          <w:lang w:val="en-AU"/>
        </w:rPr>
        <w:t>conditions can be associated with significant disruption to natural groundwater systems, and in some cases these disruptions are permanent, or will persist long after a project</w:t>
      </w:r>
      <w:r w:rsidR="005C6CBC" w:rsidRPr="00793151">
        <w:rPr>
          <w:lang w:val="en-AU"/>
        </w:rPr>
        <w:t>’</w:t>
      </w:r>
      <w:r w:rsidR="00FC261A" w:rsidRPr="00793151">
        <w:rPr>
          <w:lang w:val="en-AU"/>
        </w:rPr>
        <w:t xml:space="preserve">s closure and rehabilitation. An example of a high-risk case is a large underground coal mine that has a high probability of ground movement and subsidence. If ground movement such as subsidence causes reactivation of nearby faults, the flow through these faults could increase by orders of magnitude, and thus provide new pathways </w:t>
      </w:r>
      <w:r w:rsidR="002D7F95" w:rsidRPr="00793151">
        <w:rPr>
          <w:lang w:val="en-AU"/>
        </w:rPr>
        <w:t>that connect different aquifer systems potentially leading to degradation o</w:t>
      </w:r>
      <w:r w:rsidR="0089250F" w:rsidRPr="00793151">
        <w:rPr>
          <w:lang w:val="en-AU"/>
        </w:rPr>
        <w:t>f</w:t>
      </w:r>
      <w:r w:rsidR="002D7F95" w:rsidRPr="00793151">
        <w:rPr>
          <w:lang w:val="en-AU"/>
        </w:rPr>
        <w:t xml:space="preserve"> groundwater sources for GDEs.</w:t>
      </w:r>
      <w:r w:rsidR="00FC261A" w:rsidRPr="00793151">
        <w:rPr>
          <w:lang w:val="en-AU"/>
        </w:rPr>
        <w:t xml:space="preserve"> Changes in groundwater flow and storage could potentially be permanent or long lasting, particularly if shallow, relatively </w:t>
      </w:r>
      <w:r w:rsidR="00793151" w:rsidRPr="00793151">
        <w:rPr>
          <w:lang w:val="en-AU"/>
        </w:rPr>
        <w:t>small, perched</w:t>
      </w:r>
      <w:r w:rsidR="00FC261A" w:rsidRPr="00793151">
        <w:rPr>
          <w:lang w:val="en-AU"/>
        </w:rPr>
        <w:t xml:space="preserve"> surface aquifers and or zones of surface discharge are compromised.</w:t>
      </w:r>
    </w:p>
    <w:p w14:paraId="192B70B8" w14:textId="2A4A7F12" w:rsidR="00FC261A" w:rsidRPr="00793151" w:rsidRDefault="00FC261A" w:rsidP="00793655">
      <w:pPr>
        <w:pStyle w:val="Heading2Numbered"/>
      </w:pPr>
      <w:bookmarkStart w:id="34" w:name="_Toc42765152"/>
      <w:bookmarkStart w:id="35" w:name="_Toc66967169"/>
      <w:r w:rsidRPr="00793151">
        <w:t>Aquitard integrity</w:t>
      </w:r>
      <w:bookmarkEnd w:id="34"/>
      <w:bookmarkEnd w:id="35"/>
      <w:r w:rsidR="00AE00AE" w:rsidRPr="00793151">
        <w:t xml:space="preserve"> </w:t>
      </w:r>
    </w:p>
    <w:p w14:paraId="328FF413" w14:textId="63E43CAB" w:rsidR="00FC261A" w:rsidRPr="00793151" w:rsidRDefault="00FC261A" w:rsidP="00BF6984">
      <w:pPr>
        <w:pStyle w:val="BodyText"/>
        <w:rPr>
          <w:lang w:val="en-AU"/>
        </w:rPr>
      </w:pPr>
      <w:r w:rsidRPr="00793151">
        <w:rPr>
          <w:lang w:val="en-AU"/>
        </w:rPr>
        <w:t>Evaluation of aquitard integrity along with fault analysis is important</w:t>
      </w:r>
      <w:r w:rsidR="002E3424" w:rsidRPr="00793151">
        <w:rPr>
          <w:lang w:val="en-AU"/>
        </w:rPr>
        <w:t xml:space="preserve">, as aquitards are often </w:t>
      </w:r>
      <w:r w:rsidR="004E5361" w:rsidRPr="00793151">
        <w:rPr>
          <w:lang w:val="en-AU"/>
        </w:rPr>
        <w:t xml:space="preserve">a controlling </w:t>
      </w:r>
      <w:r w:rsidR="002E3424" w:rsidRPr="00793151">
        <w:rPr>
          <w:lang w:val="en-AU"/>
        </w:rPr>
        <w:t>factor in groundwater flow pathways</w:t>
      </w:r>
      <w:r w:rsidR="00941001" w:rsidRPr="00793151">
        <w:rPr>
          <w:lang w:val="en-AU"/>
        </w:rPr>
        <w:t xml:space="preserve">. </w:t>
      </w:r>
      <w:r w:rsidRPr="00793151">
        <w:rPr>
          <w:lang w:val="en-AU"/>
        </w:rPr>
        <w:t xml:space="preserve">There are many geological and hydrogeological aspects of aquitard integrity to consider in combination with fault zone analysis for </w:t>
      </w:r>
      <w:r w:rsidR="00FE27AE" w:rsidRPr="00793151">
        <w:rPr>
          <w:lang w:val="en-AU"/>
        </w:rPr>
        <w:t xml:space="preserve">CSG and coal mine </w:t>
      </w:r>
      <w:r w:rsidRPr="00793151">
        <w:rPr>
          <w:lang w:val="en-AU"/>
        </w:rPr>
        <w:t>projects (Timms et al</w:t>
      </w:r>
      <w:r w:rsidR="002E3424" w:rsidRPr="00793151">
        <w:rPr>
          <w:lang w:val="en-AU"/>
        </w:rPr>
        <w:t>.</w:t>
      </w:r>
      <w:r w:rsidRPr="00793151">
        <w:rPr>
          <w:lang w:val="en-AU"/>
        </w:rPr>
        <w:t xml:space="preserve"> 2012; </w:t>
      </w:r>
      <w:proofErr w:type="spellStart"/>
      <w:r w:rsidRPr="00793151">
        <w:rPr>
          <w:lang w:val="en-AU"/>
        </w:rPr>
        <w:t>Bouzalakos</w:t>
      </w:r>
      <w:proofErr w:type="spellEnd"/>
      <w:r w:rsidRPr="00793151">
        <w:rPr>
          <w:lang w:val="en-AU"/>
        </w:rPr>
        <w:t xml:space="preserve"> et al</w:t>
      </w:r>
      <w:r w:rsidR="002E3424" w:rsidRPr="00793151">
        <w:rPr>
          <w:lang w:val="en-AU"/>
        </w:rPr>
        <w:t>.</w:t>
      </w:r>
      <w:r w:rsidRPr="00793151">
        <w:rPr>
          <w:lang w:val="en-AU"/>
        </w:rPr>
        <w:t xml:space="preserve"> 2013). An ideal aquitard can be </w:t>
      </w:r>
      <w:r w:rsidR="00C4692C" w:rsidRPr="00793151">
        <w:rPr>
          <w:lang w:val="en-AU"/>
        </w:rPr>
        <w:t>characterised</w:t>
      </w:r>
      <w:r w:rsidRPr="00793151">
        <w:rPr>
          <w:lang w:val="en-AU"/>
        </w:rPr>
        <w:t xml:space="preserve"> as having a high degree of integrity if </w:t>
      </w:r>
      <w:r w:rsidR="00850409" w:rsidRPr="00793151">
        <w:rPr>
          <w:lang w:val="en-AU"/>
        </w:rPr>
        <w:t xml:space="preserve">it meets the </w:t>
      </w:r>
      <w:r w:rsidRPr="00793151">
        <w:rPr>
          <w:lang w:val="en-AU"/>
        </w:rPr>
        <w:t xml:space="preserve">following attributes: </w:t>
      </w:r>
    </w:p>
    <w:p w14:paraId="57933D57" w14:textId="74A1EDBF" w:rsidR="00FC261A" w:rsidRPr="00793151" w:rsidRDefault="00850409" w:rsidP="00C51958">
      <w:pPr>
        <w:pStyle w:val="06DOTPOINTS"/>
        <w:numPr>
          <w:ilvl w:val="0"/>
          <w:numId w:val="6"/>
        </w:numPr>
        <w:spacing w:line="240" w:lineRule="auto"/>
        <w:rPr>
          <w:rFonts w:ascii="Garamond" w:hAnsi="Garamond"/>
        </w:rPr>
      </w:pPr>
      <w:r w:rsidRPr="00793151">
        <w:rPr>
          <w:rFonts w:ascii="Garamond" w:hAnsi="Garamond"/>
        </w:rPr>
        <w:t>I</w:t>
      </w:r>
      <w:r w:rsidR="00FC261A" w:rsidRPr="00793151">
        <w:rPr>
          <w:rFonts w:ascii="Garamond" w:hAnsi="Garamond"/>
        </w:rPr>
        <w:t>s a regionally extensive stratigraphic layer without ‘</w:t>
      </w:r>
      <w:proofErr w:type="gramStart"/>
      <w:r w:rsidR="00FC261A" w:rsidRPr="00793151">
        <w:rPr>
          <w:rFonts w:ascii="Garamond" w:hAnsi="Garamond"/>
        </w:rPr>
        <w:t>windows’</w:t>
      </w:r>
      <w:proofErr w:type="gramEnd"/>
      <w:r w:rsidR="00FC261A" w:rsidRPr="00793151">
        <w:rPr>
          <w:rFonts w:ascii="Garamond" w:hAnsi="Garamond"/>
        </w:rPr>
        <w:t xml:space="preserve"> or flow paths due to faults,</w:t>
      </w:r>
      <w:r w:rsidR="008A4478" w:rsidRPr="00793151">
        <w:rPr>
          <w:rFonts w:ascii="Garamond" w:hAnsi="Garamond"/>
        </w:rPr>
        <w:t xml:space="preserve"> </w:t>
      </w:r>
      <w:r w:rsidR="00FC261A" w:rsidRPr="00793151">
        <w:rPr>
          <w:rFonts w:ascii="Garamond" w:hAnsi="Garamond"/>
        </w:rPr>
        <w:t>depositional discontinuities, or leaky boreholes through the aquitard</w:t>
      </w:r>
      <w:r w:rsidR="003F58E8" w:rsidRPr="00793151">
        <w:rPr>
          <w:rFonts w:ascii="Garamond" w:hAnsi="Garamond"/>
        </w:rPr>
        <w:t>;</w:t>
      </w:r>
    </w:p>
    <w:p w14:paraId="46A51489" w14:textId="032AB452" w:rsidR="00FC261A" w:rsidRPr="00793151" w:rsidRDefault="00850409" w:rsidP="00C51958">
      <w:pPr>
        <w:pStyle w:val="06DOTPOINTS"/>
        <w:numPr>
          <w:ilvl w:val="0"/>
          <w:numId w:val="6"/>
        </w:numPr>
        <w:spacing w:line="240" w:lineRule="auto"/>
        <w:rPr>
          <w:rFonts w:ascii="Garamond" w:hAnsi="Garamond"/>
        </w:rPr>
      </w:pPr>
      <w:r w:rsidRPr="00793151">
        <w:rPr>
          <w:rFonts w:ascii="Garamond" w:hAnsi="Garamond"/>
        </w:rPr>
        <w:t>I</w:t>
      </w:r>
      <w:r w:rsidR="00FC261A" w:rsidRPr="00793151">
        <w:rPr>
          <w:rFonts w:ascii="Garamond" w:hAnsi="Garamond"/>
        </w:rPr>
        <w:t>s a thick stratigraphic layer, or series of multiple thin layers that significantly limits vertical flow, where transport of solutes or salts can only occur by diffusion (</w:t>
      </w:r>
      <w:proofErr w:type="gramStart"/>
      <w:r w:rsidR="00FC261A" w:rsidRPr="00793151">
        <w:rPr>
          <w:rFonts w:ascii="Garamond" w:hAnsi="Garamond"/>
        </w:rPr>
        <w:t>i</w:t>
      </w:r>
      <w:r w:rsidR="00297460" w:rsidRPr="00793151">
        <w:rPr>
          <w:rFonts w:ascii="Garamond" w:hAnsi="Garamond"/>
        </w:rPr>
        <w:t>.</w:t>
      </w:r>
      <w:r w:rsidR="00FC261A" w:rsidRPr="00793151">
        <w:rPr>
          <w:rFonts w:ascii="Garamond" w:hAnsi="Garamond"/>
        </w:rPr>
        <w:t>e.</w:t>
      </w:r>
      <w:proofErr w:type="gramEnd"/>
      <w:r w:rsidR="00FC261A" w:rsidRPr="00793151">
        <w:rPr>
          <w:rFonts w:ascii="Garamond" w:hAnsi="Garamond"/>
        </w:rPr>
        <w:t xml:space="preserve"> a chemical concentration gradient)</w:t>
      </w:r>
      <w:r w:rsidR="003F58E8" w:rsidRPr="00793151">
        <w:rPr>
          <w:rFonts w:ascii="Garamond" w:hAnsi="Garamond"/>
        </w:rPr>
        <w:t>;</w:t>
      </w:r>
      <w:r w:rsidR="008A4478" w:rsidRPr="00793151">
        <w:rPr>
          <w:rFonts w:ascii="Garamond" w:hAnsi="Garamond"/>
        </w:rPr>
        <w:t xml:space="preserve"> </w:t>
      </w:r>
    </w:p>
    <w:p w14:paraId="4611B51E" w14:textId="1854720D" w:rsidR="00FC261A" w:rsidRPr="00793151" w:rsidRDefault="00850409" w:rsidP="00C51958">
      <w:pPr>
        <w:pStyle w:val="06DOTPOINTS"/>
        <w:numPr>
          <w:ilvl w:val="0"/>
          <w:numId w:val="6"/>
        </w:numPr>
        <w:spacing w:line="240" w:lineRule="auto"/>
        <w:rPr>
          <w:rFonts w:ascii="Garamond" w:hAnsi="Garamond"/>
        </w:rPr>
      </w:pPr>
      <w:r w:rsidRPr="00793151">
        <w:rPr>
          <w:rFonts w:ascii="Garamond" w:hAnsi="Garamond"/>
        </w:rPr>
        <w:t>I</w:t>
      </w:r>
      <w:r w:rsidR="00FC261A" w:rsidRPr="00793151">
        <w:rPr>
          <w:rFonts w:ascii="Garamond" w:hAnsi="Garamond"/>
        </w:rPr>
        <w:t>s hydraulically tight, with low hydraulic conductivity at both core testing scale (</w:t>
      </w:r>
      <w:proofErr w:type="gramStart"/>
      <w:r w:rsidR="00FC261A" w:rsidRPr="00793151">
        <w:rPr>
          <w:rFonts w:ascii="Garamond" w:hAnsi="Garamond"/>
        </w:rPr>
        <w:t>i</w:t>
      </w:r>
      <w:r w:rsidR="00297460" w:rsidRPr="00793151">
        <w:rPr>
          <w:rFonts w:ascii="Garamond" w:hAnsi="Garamond"/>
        </w:rPr>
        <w:t>.</w:t>
      </w:r>
      <w:r w:rsidR="00FC261A" w:rsidRPr="00793151">
        <w:rPr>
          <w:rFonts w:ascii="Garamond" w:hAnsi="Garamond"/>
        </w:rPr>
        <w:t>e.</w:t>
      </w:r>
      <w:proofErr w:type="gramEnd"/>
      <w:r w:rsidR="00FC261A" w:rsidRPr="00793151">
        <w:rPr>
          <w:rFonts w:ascii="Garamond" w:hAnsi="Garamond"/>
        </w:rPr>
        <w:t xml:space="preserve"> matrix permeability) and site scale (i</w:t>
      </w:r>
      <w:r w:rsidR="00453A06" w:rsidRPr="00793151">
        <w:rPr>
          <w:rFonts w:ascii="Garamond" w:hAnsi="Garamond"/>
        </w:rPr>
        <w:t>.</w:t>
      </w:r>
      <w:r w:rsidR="00FC261A" w:rsidRPr="00793151">
        <w:rPr>
          <w:rFonts w:ascii="Garamond" w:hAnsi="Garamond"/>
        </w:rPr>
        <w:t>e. no macropores or fractures that form discrete flow paths)</w:t>
      </w:r>
      <w:r w:rsidR="003F58E8" w:rsidRPr="00793151">
        <w:rPr>
          <w:rFonts w:ascii="Garamond" w:hAnsi="Garamond"/>
        </w:rPr>
        <w:t>; and</w:t>
      </w:r>
      <w:r w:rsidR="008A4478" w:rsidRPr="00793151">
        <w:rPr>
          <w:rFonts w:ascii="Garamond" w:hAnsi="Garamond"/>
        </w:rPr>
        <w:t xml:space="preserve"> </w:t>
      </w:r>
    </w:p>
    <w:p w14:paraId="305E2893" w14:textId="7AA82268" w:rsidR="00235541" w:rsidRPr="00793151" w:rsidRDefault="00850409" w:rsidP="00235541">
      <w:pPr>
        <w:pStyle w:val="06DOTPOINTS"/>
        <w:numPr>
          <w:ilvl w:val="0"/>
          <w:numId w:val="6"/>
        </w:numPr>
        <w:spacing w:line="240" w:lineRule="auto"/>
        <w:rPr>
          <w:rFonts w:ascii="Garamond" w:hAnsi="Garamond"/>
        </w:rPr>
      </w:pPr>
      <w:r w:rsidRPr="00793151">
        <w:rPr>
          <w:rFonts w:ascii="Garamond" w:hAnsi="Garamond"/>
        </w:rPr>
        <w:t>M</w:t>
      </w:r>
      <w:r w:rsidR="00FC261A" w:rsidRPr="00793151">
        <w:rPr>
          <w:rFonts w:ascii="Garamond" w:hAnsi="Garamond"/>
        </w:rPr>
        <w:t xml:space="preserve">aintains integrity during ground deformation, for example by plastic rather than brittle deformation or by swelling clay mineralogy that reduces the effects of fracturing. </w:t>
      </w:r>
    </w:p>
    <w:p w14:paraId="6BB180D1" w14:textId="77777777" w:rsidR="00493654" w:rsidRPr="00793151" w:rsidRDefault="00493654">
      <w:pPr>
        <w:rPr>
          <w:rFonts w:ascii="Calibri" w:hAnsi="Calibri" w:cs="Calibri"/>
          <w:bCs/>
          <w:color w:val="005695"/>
          <w:sz w:val="32"/>
          <w:szCs w:val="32"/>
        </w:rPr>
      </w:pPr>
      <w:r w:rsidRPr="00793151">
        <w:br w:type="page"/>
      </w:r>
    </w:p>
    <w:p w14:paraId="27475FBA" w14:textId="0EEB15D7" w:rsidR="00FC261A" w:rsidRPr="00793151" w:rsidRDefault="00097F92" w:rsidP="00793655">
      <w:pPr>
        <w:pStyle w:val="Heading2Numbered"/>
      </w:pPr>
      <w:bookmarkStart w:id="36" w:name="_Toc66967170"/>
      <w:r w:rsidRPr="00793151">
        <w:lastRenderedPageBreak/>
        <w:t xml:space="preserve">Assessing the potential risks </w:t>
      </w:r>
      <w:r w:rsidR="008466CA" w:rsidRPr="00793151">
        <w:t xml:space="preserve">due to </w:t>
      </w:r>
      <w:r w:rsidRPr="00793151">
        <w:t>faults</w:t>
      </w:r>
      <w:bookmarkEnd w:id="36"/>
    </w:p>
    <w:p w14:paraId="7830319E" w14:textId="606D9B4C" w:rsidR="00FC261A" w:rsidRPr="00793151" w:rsidRDefault="00FC261A" w:rsidP="00BF6984">
      <w:pPr>
        <w:pStyle w:val="BodyText"/>
        <w:rPr>
          <w:lang w:val="en-AU"/>
        </w:rPr>
      </w:pPr>
      <w:r w:rsidRPr="00793151">
        <w:rPr>
          <w:lang w:val="en-AU"/>
        </w:rPr>
        <w:t xml:space="preserve">When assessing the </w:t>
      </w:r>
      <w:r w:rsidR="001A507E" w:rsidRPr="00793151">
        <w:rPr>
          <w:lang w:val="en-AU"/>
        </w:rPr>
        <w:t xml:space="preserve">potential </w:t>
      </w:r>
      <w:r w:rsidRPr="00793151">
        <w:rPr>
          <w:lang w:val="en-AU"/>
        </w:rPr>
        <w:t xml:space="preserve">risks </w:t>
      </w:r>
      <w:r w:rsidR="001A507E" w:rsidRPr="00793151">
        <w:rPr>
          <w:lang w:val="en-AU"/>
        </w:rPr>
        <w:t>of</w:t>
      </w:r>
      <w:r w:rsidRPr="00793151">
        <w:rPr>
          <w:lang w:val="en-AU"/>
        </w:rPr>
        <w:t xml:space="preserve"> </w:t>
      </w:r>
      <w:r w:rsidR="001A507E" w:rsidRPr="00793151">
        <w:rPr>
          <w:lang w:val="en-AU"/>
        </w:rPr>
        <w:t xml:space="preserve">fault </w:t>
      </w:r>
      <w:r w:rsidR="003E11DB" w:rsidRPr="00793151">
        <w:rPr>
          <w:lang w:val="en-AU"/>
        </w:rPr>
        <w:t>systems</w:t>
      </w:r>
      <w:r w:rsidR="001A507E" w:rsidRPr="00793151">
        <w:rPr>
          <w:lang w:val="en-AU"/>
        </w:rPr>
        <w:t xml:space="preserve"> on connectivity between CSG or LCM </w:t>
      </w:r>
      <w:r w:rsidR="003E11DB" w:rsidRPr="00793151">
        <w:rPr>
          <w:lang w:val="en-AU"/>
        </w:rPr>
        <w:t xml:space="preserve">development </w:t>
      </w:r>
      <w:r w:rsidR="001A507E" w:rsidRPr="00793151">
        <w:rPr>
          <w:lang w:val="en-AU"/>
        </w:rPr>
        <w:t>and environmental assets</w:t>
      </w:r>
      <w:r w:rsidRPr="00793151">
        <w:rPr>
          <w:lang w:val="en-AU"/>
        </w:rPr>
        <w:t xml:space="preserve">, </w:t>
      </w:r>
      <w:r w:rsidR="00AE00AE" w:rsidRPr="00793151">
        <w:rPr>
          <w:lang w:val="en-AU"/>
        </w:rPr>
        <w:t>the repercussions of the presence of a</w:t>
      </w:r>
      <w:r w:rsidRPr="00793151">
        <w:rPr>
          <w:lang w:val="en-AU"/>
        </w:rPr>
        <w:t xml:space="preserve"> fault </w:t>
      </w:r>
      <w:r w:rsidR="00B243B5" w:rsidRPr="00793151">
        <w:rPr>
          <w:lang w:val="en-AU"/>
        </w:rPr>
        <w:t xml:space="preserve">on the groundwater flow system before, </w:t>
      </w:r>
      <w:r w:rsidR="00AE00AE" w:rsidRPr="00793151">
        <w:rPr>
          <w:lang w:val="en-AU"/>
        </w:rPr>
        <w:t>during and post development</w:t>
      </w:r>
      <w:r w:rsidR="001543FE" w:rsidRPr="00793151">
        <w:rPr>
          <w:lang w:val="en-AU"/>
        </w:rPr>
        <w:t xml:space="preserve"> should be considered</w:t>
      </w:r>
      <w:r w:rsidR="00B243B5" w:rsidRPr="00793151">
        <w:rPr>
          <w:lang w:val="en-AU"/>
        </w:rPr>
        <w:t xml:space="preserve">.  The presence of a fault may </w:t>
      </w:r>
      <w:r w:rsidR="006D5A89" w:rsidRPr="00793151">
        <w:rPr>
          <w:lang w:val="en-AU"/>
        </w:rPr>
        <w:t xml:space="preserve">influence </w:t>
      </w:r>
      <w:r w:rsidR="00B243B5" w:rsidRPr="00793151">
        <w:rPr>
          <w:lang w:val="en-AU"/>
        </w:rPr>
        <w:t xml:space="preserve">the way a development </w:t>
      </w:r>
      <w:r w:rsidRPr="00793151">
        <w:rPr>
          <w:lang w:val="en-AU"/>
        </w:rPr>
        <w:t>perturb</w:t>
      </w:r>
      <w:r w:rsidR="001543FE" w:rsidRPr="00793151">
        <w:rPr>
          <w:lang w:val="en-AU"/>
        </w:rPr>
        <w:t>s</w:t>
      </w:r>
      <w:r w:rsidRPr="00793151">
        <w:rPr>
          <w:lang w:val="en-AU"/>
        </w:rPr>
        <w:t xml:space="preserve"> the pre-development groundwater system</w:t>
      </w:r>
      <w:r w:rsidR="00B243B5" w:rsidRPr="00793151">
        <w:rPr>
          <w:lang w:val="en-AU"/>
        </w:rPr>
        <w:t xml:space="preserve"> </w:t>
      </w:r>
      <w:r w:rsidRPr="00793151">
        <w:rPr>
          <w:lang w:val="en-AU"/>
        </w:rPr>
        <w:t xml:space="preserve">and </w:t>
      </w:r>
      <w:r w:rsidR="001543FE" w:rsidRPr="00793151">
        <w:rPr>
          <w:lang w:val="en-AU"/>
        </w:rPr>
        <w:t xml:space="preserve">lead to </w:t>
      </w:r>
      <w:r w:rsidRPr="00793151">
        <w:rPr>
          <w:lang w:val="en-AU"/>
        </w:rPr>
        <w:t>impact</w:t>
      </w:r>
      <w:r w:rsidR="001543FE" w:rsidRPr="00793151">
        <w:rPr>
          <w:lang w:val="en-AU"/>
        </w:rPr>
        <w:t>s</w:t>
      </w:r>
      <w:r w:rsidRPr="00793151">
        <w:rPr>
          <w:lang w:val="en-AU"/>
        </w:rPr>
        <w:t xml:space="preserve"> on groundwater-dependent assets. Different methods and variable levels of complexity can be used by proponents to assess and present the risks related to geological faults,</w:t>
      </w:r>
      <w:r w:rsidR="001D443C" w:rsidRPr="00793151">
        <w:rPr>
          <w:lang w:val="en-AU"/>
        </w:rPr>
        <w:t xml:space="preserve"> </w:t>
      </w:r>
      <w:r w:rsidR="006E3A74" w:rsidRPr="00793151">
        <w:rPr>
          <w:lang w:val="en-AU"/>
        </w:rPr>
        <w:t xml:space="preserve">their identification </w:t>
      </w:r>
      <w:r w:rsidRPr="00793151">
        <w:rPr>
          <w:lang w:val="en-AU"/>
        </w:rPr>
        <w:t xml:space="preserve">and </w:t>
      </w:r>
      <w:r w:rsidR="001D443C" w:rsidRPr="00793151">
        <w:rPr>
          <w:lang w:val="en-AU"/>
        </w:rPr>
        <w:t xml:space="preserve">early discussion of </w:t>
      </w:r>
      <w:r w:rsidRPr="00793151">
        <w:rPr>
          <w:lang w:val="en-AU"/>
        </w:rPr>
        <w:t xml:space="preserve">the methods and presentation with the relevant regulator </w:t>
      </w:r>
      <w:r w:rsidR="001D443C" w:rsidRPr="00793151">
        <w:rPr>
          <w:lang w:val="en-AU"/>
        </w:rPr>
        <w:t xml:space="preserve">is encouraged </w:t>
      </w:r>
      <w:r w:rsidRPr="00793151">
        <w:rPr>
          <w:lang w:val="en-AU"/>
        </w:rPr>
        <w:t xml:space="preserve">when planning and conducting an assessment. </w:t>
      </w:r>
    </w:p>
    <w:p w14:paraId="6BEC6C70" w14:textId="6676D890" w:rsidR="00FC261A" w:rsidRPr="006F4023" w:rsidRDefault="001D443C" w:rsidP="00BF6984">
      <w:pPr>
        <w:pStyle w:val="BodyText"/>
        <w:rPr>
          <w:lang w:val="en-AU"/>
        </w:rPr>
      </w:pPr>
      <w:r w:rsidRPr="00793151">
        <w:rPr>
          <w:lang w:val="en-AU"/>
        </w:rPr>
        <w:t xml:space="preserve">Assessing </w:t>
      </w:r>
      <w:r w:rsidR="00FC261A" w:rsidRPr="00793151">
        <w:rPr>
          <w:lang w:val="en-AU"/>
        </w:rPr>
        <w:t>the groundwater impacts related to geological faults involve</w:t>
      </w:r>
      <w:r w:rsidRPr="00793151">
        <w:rPr>
          <w:lang w:val="en-AU"/>
        </w:rPr>
        <w:t>s</w:t>
      </w:r>
      <w:r w:rsidR="00FC261A" w:rsidRPr="00793151">
        <w:rPr>
          <w:lang w:val="en-AU"/>
        </w:rPr>
        <w:t xml:space="preserve"> three main </w:t>
      </w:r>
      <w:r w:rsidR="00330C30" w:rsidRPr="00793151">
        <w:rPr>
          <w:lang w:val="en-AU"/>
        </w:rPr>
        <w:t xml:space="preserve">steps: static </w:t>
      </w:r>
      <w:r w:rsidR="003F1824" w:rsidRPr="00793151">
        <w:rPr>
          <w:lang w:val="en-AU"/>
        </w:rPr>
        <w:t>conceptualisation</w:t>
      </w:r>
      <w:r w:rsidR="00330C30" w:rsidRPr="00793151">
        <w:rPr>
          <w:lang w:val="en-AU"/>
        </w:rPr>
        <w:t xml:space="preserve"> and </w:t>
      </w:r>
      <w:r w:rsidR="00C4692C" w:rsidRPr="00793151">
        <w:rPr>
          <w:lang w:val="en-AU"/>
        </w:rPr>
        <w:t>characterisation</w:t>
      </w:r>
      <w:r w:rsidR="00097F92" w:rsidRPr="00793151">
        <w:rPr>
          <w:lang w:val="en-AU"/>
        </w:rPr>
        <w:t xml:space="preserve"> of the fault system</w:t>
      </w:r>
      <w:r w:rsidR="00330C30" w:rsidRPr="00793151">
        <w:rPr>
          <w:lang w:val="en-AU"/>
        </w:rPr>
        <w:t>, dynamic simulation</w:t>
      </w:r>
      <w:r w:rsidR="00097F92" w:rsidRPr="00793151">
        <w:rPr>
          <w:lang w:val="en-AU"/>
        </w:rPr>
        <w:t xml:space="preserve"> of the groundwater system,</w:t>
      </w:r>
      <w:r w:rsidR="00330C30" w:rsidRPr="00793151">
        <w:rPr>
          <w:lang w:val="en-AU"/>
        </w:rPr>
        <w:t xml:space="preserve"> and risk assessment</w:t>
      </w:r>
      <w:r w:rsidR="00097F92" w:rsidRPr="00793151">
        <w:rPr>
          <w:lang w:val="en-AU"/>
        </w:rPr>
        <w:t xml:space="preserve"> of fault </w:t>
      </w:r>
      <w:r w:rsidR="00235163" w:rsidRPr="00793151">
        <w:rPr>
          <w:lang w:val="en-AU"/>
        </w:rPr>
        <w:t>behaviour</w:t>
      </w:r>
      <w:r w:rsidR="00097F92" w:rsidRPr="00793151">
        <w:rPr>
          <w:lang w:val="en-AU"/>
        </w:rPr>
        <w:t xml:space="preserve"> and potential for reactivation and damage to groundwater assets and GDEs</w:t>
      </w:r>
      <w:r w:rsidR="00FC261A" w:rsidRPr="00793151">
        <w:rPr>
          <w:lang w:val="en-AU"/>
        </w:rPr>
        <w:t xml:space="preserve">. </w:t>
      </w:r>
      <w:r w:rsidR="00330C30" w:rsidRPr="00793151">
        <w:rPr>
          <w:lang w:val="en-AU"/>
        </w:rPr>
        <w:t xml:space="preserve"> </w:t>
      </w:r>
      <w:r w:rsidR="00D0020E" w:rsidRPr="0008411A">
        <w:rPr>
          <w:lang w:val="en-AU"/>
        </w:rPr>
        <w:t>Both static and dynamic data are required about the geology and geotechnical behaviour of the strata, the nature of the fault</w:t>
      </w:r>
      <w:r w:rsidR="006E3A74" w:rsidRPr="0008411A">
        <w:rPr>
          <w:lang w:val="en-AU"/>
        </w:rPr>
        <w:t>s</w:t>
      </w:r>
      <w:r w:rsidR="00D0020E" w:rsidRPr="0008411A">
        <w:rPr>
          <w:lang w:val="en-AU"/>
        </w:rPr>
        <w:t xml:space="preserve"> and the hydraulic parameters</w:t>
      </w:r>
      <w:r w:rsidR="006E3A74" w:rsidRPr="0008411A">
        <w:rPr>
          <w:lang w:val="en-AU"/>
        </w:rPr>
        <w:t xml:space="preserve"> assigned to them, which can vary through time in response to development and require monitoring.</w:t>
      </w:r>
      <w:r w:rsidR="00D0020E" w:rsidRPr="0008411A">
        <w:rPr>
          <w:lang w:val="en-AU"/>
        </w:rPr>
        <w:t xml:space="preserve"> </w:t>
      </w:r>
      <w:r w:rsidR="007662CF" w:rsidRPr="006F4023">
        <w:rPr>
          <w:lang w:val="en-AU"/>
        </w:rPr>
        <w:t xml:space="preserve">Fault characterisation and conceptualisation is the focus of this </w:t>
      </w:r>
      <w:r w:rsidR="00380F4E" w:rsidRPr="006F4023">
        <w:rPr>
          <w:lang w:val="en-AU"/>
        </w:rPr>
        <w:t>Explanatory Note</w:t>
      </w:r>
      <w:r w:rsidR="007662CF" w:rsidRPr="006F4023">
        <w:rPr>
          <w:lang w:val="en-AU"/>
        </w:rPr>
        <w:t>, with some discussion of how faults can be incorporated into dynamic simulation models, with a view to assessing their influence on flow pathways.</w:t>
      </w:r>
      <w:r w:rsidR="00FC261A" w:rsidRPr="006F4023">
        <w:rPr>
          <w:lang w:val="en-AU"/>
        </w:rPr>
        <w:t xml:space="preserve"> </w:t>
      </w:r>
      <w:r w:rsidR="007662CF" w:rsidRPr="006F4023">
        <w:rPr>
          <w:lang w:val="en-AU"/>
        </w:rPr>
        <w:t>A</w:t>
      </w:r>
      <w:r w:rsidR="00FC261A" w:rsidRPr="006F4023">
        <w:rPr>
          <w:lang w:val="en-AU"/>
        </w:rPr>
        <w:t xml:space="preserve"> general process is shown schematically in </w:t>
      </w:r>
      <w:r w:rsidR="006C7EEF">
        <w:rPr>
          <w:lang w:val="en-AU"/>
        </w:rPr>
        <w:fldChar w:fldCharType="begin"/>
      </w:r>
      <w:r w:rsidR="006C7EEF">
        <w:rPr>
          <w:lang w:val="en-AU"/>
        </w:rPr>
        <w:instrText xml:space="preserve"> REF _Ref56787229 \h </w:instrText>
      </w:r>
      <w:r w:rsidR="006C7EEF">
        <w:rPr>
          <w:lang w:val="en-AU"/>
        </w:rPr>
      </w:r>
      <w:r w:rsidR="006C7EEF">
        <w:rPr>
          <w:lang w:val="en-AU"/>
        </w:rPr>
        <w:fldChar w:fldCharType="separate"/>
      </w:r>
      <w:r w:rsidR="00047351" w:rsidRPr="006F4023">
        <w:t xml:space="preserve">Figure </w:t>
      </w:r>
      <w:r w:rsidR="00047351">
        <w:rPr>
          <w:noProof/>
        </w:rPr>
        <w:t>2</w:t>
      </w:r>
      <w:r w:rsidR="006C7EEF">
        <w:rPr>
          <w:lang w:val="en-AU"/>
        </w:rPr>
        <w:fldChar w:fldCharType="end"/>
      </w:r>
      <w:r w:rsidR="007662CF" w:rsidRPr="006F4023">
        <w:rPr>
          <w:lang w:val="en-AU"/>
        </w:rPr>
        <w:t>, and described below.</w:t>
      </w:r>
      <w:r w:rsidR="00FC261A" w:rsidRPr="006F4023">
        <w:rPr>
          <w:lang w:val="en-AU"/>
        </w:rPr>
        <w:t xml:space="preserve"> </w:t>
      </w:r>
    </w:p>
    <w:p w14:paraId="6808F035" w14:textId="5A67275A" w:rsidR="00FC261A" w:rsidRPr="006F4023" w:rsidRDefault="00FC261A" w:rsidP="00C51958">
      <w:pPr>
        <w:pStyle w:val="06DOTPOINTS"/>
        <w:numPr>
          <w:ilvl w:val="0"/>
          <w:numId w:val="6"/>
        </w:numPr>
        <w:spacing w:line="240" w:lineRule="auto"/>
        <w:rPr>
          <w:rFonts w:ascii="Garamond" w:hAnsi="Garamond"/>
        </w:rPr>
      </w:pPr>
      <w:r w:rsidRPr="006F4023">
        <w:rPr>
          <w:rFonts w:ascii="Garamond" w:hAnsi="Garamond"/>
        </w:rPr>
        <w:t xml:space="preserve">First, the characterisation of the geological framework and the aquifer flow properties, including around faults, is required. This includes the relative </w:t>
      </w:r>
      <w:r w:rsidR="00653ADB" w:rsidRPr="006F4023">
        <w:rPr>
          <w:rFonts w:ascii="Garamond" w:hAnsi="Garamond"/>
        </w:rPr>
        <w:t>position</w:t>
      </w:r>
      <w:r w:rsidRPr="006F4023">
        <w:rPr>
          <w:rFonts w:ascii="Garamond" w:hAnsi="Garamond"/>
        </w:rPr>
        <w:t xml:space="preserve"> of any aquitards, fault offsets, and their relationships to the proposed development and any groundwater assets and GDEs</w:t>
      </w:r>
      <w:r w:rsidR="001D443C" w:rsidRPr="006F4023">
        <w:rPr>
          <w:rFonts w:ascii="Garamond" w:hAnsi="Garamond"/>
        </w:rPr>
        <w:t>. Typical sources for this information are discussed in Section 2</w:t>
      </w:r>
      <w:r w:rsidRPr="006F4023">
        <w:rPr>
          <w:rFonts w:ascii="Garamond" w:hAnsi="Garamond"/>
        </w:rPr>
        <w:t>. Th</w:t>
      </w:r>
      <w:r w:rsidR="001D443C" w:rsidRPr="006F4023">
        <w:rPr>
          <w:rFonts w:ascii="Garamond" w:hAnsi="Garamond"/>
        </w:rPr>
        <w:t>e</w:t>
      </w:r>
      <w:r w:rsidRPr="006F4023">
        <w:rPr>
          <w:rFonts w:ascii="Garamond" w:hAnsi="Garamond"/>
        </w:rPr>
        <w:t xml:space="preserve"> characterisation should also define or describe any uncertainties salient to fault flow pathways. Collectively this allows an initial conceptual-model assessment of </w:t>
      </w:r>
      <w:r w:rsidR="00097E96" w:rsidRPr="006F4023">
        <w:rPr>
          <w:rFonts w:ascii="Garamond" w:hAnsi="Garamond"/>
        </w:rPr>
        <w:t>whether</w:t>
      </w:r>
      <w:r w:rsidRPr="006F4023">
        <w:rPr>
          <w:rFonts w:ascii="Garamond" w:hAnsi="Garamond"/>
        </w:rPr>
        <w:t xml:space="preserve"> there is a plausible risk that a fault </w:t>
      </w:r>
      <w:r w:rsidR="00DD3BB3" w:rsidRPr="006F4023">
        <w:rPr>
          <w:rFonts w:ascii="Garamond" w:hAnsi="Garamond"/>
        </w:rPr>
        <w:t xml:space="preserve">or fracture induced </w:t>
      </w:r>
      <w:r w:rsidRPr="006F4023">
        <w:rPr>
          <w:rFonts w:ascii="Garamond" w:hAnsi="Garamond"/>
        </w:rPr>
        <w:t xml:space="preserve">pathway exists between the coal seam and </w:t>
      </w:r>
      <w:r w:rsidR="002D7F95" w:rsidRPr="006F4023">
        <w:rPr>
          <w:rFonts w:ascii="Garamond" w:hAnsi="Garamond"/>
        </w:rPr>
        <w:t>a groundwater dependent asset</w:t>
      </w:r>
      <w:r w:rsidRPr="006F4023">
        <w:rPr>
          <w:rFonts w:ascii="Garamond" w:hAnsi="Garamond"/>
        </w:rPr>
        <w:t>. In some cases, based on this initial system conceptualisation</w:t>
      </w:r>
      <w:r w:rsidR="00E5053F" w:rsidRPr="006F4023">
        <w:rPr>
          <w:rFonts w:ascii="Garamond" w:hAnsi="Garamond"/>
        </w:rPr>
        <w:t xml:space="preserve"> the risk can </w:t>
      </w:r>
      <w:r w:rsidR="00D9092C" w:rsidRPr="006F4023">
        <w:rPr>
          <w:rFonts w:ascii="Garamond" w:hAnsi="Garamond"/>
        </w:rPr>
        <w:t xml:space="preserve">be </w:t>
      </w:r>
      <w:r w:rsidR="00E5053F" w:rsidRPr="006F4023">
        <w:rPr>
          <w:rFonts w:ascii="Garamond" w:hAnsi="Garamond"/>
        </w:rPr>
        <w:t xml:space="preserve">assessed as highly </w:t>
      </w:r>
      <w:r w:rsidR="00F00223" w:rsidRPr="006F4023">
        <w:rPr>
          <w:rFonts w:ascii="Garamond" w:hAnsi="Garamond"/>
        </w:rPr>
        <w:t>unlikely</w:t>
      </w:r>
      <w:r w:rsidR="00E5053F" w:rsidRPr="006F4023">
        <w:rPr>
          <w:rFonts w:ascii="Garamond" w:hAnsi="Garamond"/>
        </w:rPr>
        <w:t xml:space="preserve"> and can be dismissed</w:t>
      </w:r>
      <w:r w:rsidRPr="006F4023">
        <w:rPr>
          <w:rFonts w:ascii="Garamond" w:hAnsi="Garamond"/>
        </w:rPr>
        <w:t xml:space="preserve">, whilst in others a detailed analysis of the likely </w:t>
      </w:r>
      <w:r w:rsidR="003F58E8" w:rsidRPr="006F4023">
        <w:rPr>
          <w:rFonts w:ascii="Garamond" w:hAnsi="Garamond"/>
        </w:rPr>
        <w:t xml:space="preserve">groundwater </w:t>
      </w:r>
      <w:r w:rsidRPr="006F4023">
        <w:rPr>
          <w:rFonts w:ascii="Garamond" w:hAnsi="Garamond"/>
        </w:rPr>
        <w:t xml:space="preserve">flow upon development will need to be completed </w:t>
      </w:r>
      <w:r w:rsidR="00097E96" w:rsidRPr="006F4023">
        <w:rPr>
          <w:rFonts w:ascii="Garamond" w:hAnsi="Garamond"/>
        </w:rPr>
        <w:t>to</w:t>
      </w:r>
      <w:r w:rsidRPr="006F4023">
        <w:rPr>
          <w:rFonts w:ascii="Garamond" w:hAnsi="Garamond"/>
        </w:rPr>
        <w:t xml:space="preserve"> fully assess risk.</w:t>
      </w:r>
      <w:r w:rsidR="00441560" w:rsidRPr="006F4023">
        <w:rPr>
          <w:rFonts w:ascii="Garamond" w:hAnsi="Garamond"/>
        </w:rPr>
        <w:t xml:space="preserve"> Examples of assessment methods are introduced in Section 3.</w:t>
      </w:r>
    </w:p>
    <w:p w14:paraId="39F41445" w14:textId="425D7EE9" w:rsidR="00FC261A" w:rsidRPr="006F4023" w:rsidRDefault="00FC261A" w:rsidP="00C51958">
      <w:pPr>
        <w:pStyle w:val="06DOTPOINTS"/>
        <w:numPr>
          <w:ilvl w:val="0"/>
          <w:numId w:val="6"/>
        </w:numPr>
        <w:spacing w:line="240" w:lineRule="auto"/>
        <w:rPr>
          <w:rFonts w:ascii="Garamond" w:hAnsi="Garamond"/>
        </w:rPr>
      </w:pPr>
      <w:r w:rsidRPr="006F4023">
        <w:rPr>
          <w:rFonts w:ascii="Garamond" w:hAnsi="Garamond"/>
        </w:rPr>
        <w:t xml:space="preserve">Second, </w:t>
      </w:r>
      <w:r w:rsidR="00097E96" w:rsidRPr="006F4023">
        <w:rPr>
          <w:rFonts w:ascii="Garamond" w:hAnsi="Garamond"/>
        </w:rPr>
        <w:t>based on</w:t>
      </w:r>
      <w:r w:rsidRPr="006F4023">
        <w:rPr>
          <w:rFonts w:ascii="Garamond" w:hAnsi="Garamond"/>
        </w:rPr>
        <w:t xml:space="preserve"> the conceptual model, dynamic </w:t>
      </w:r>
      <w:r w:rsidR="00D37086" w:rsidRPr="006F4023">
        <w:rPr>
          <w:rFonts w:ascii="Garamond" w:hAnsi="Garamond"/>
        </w:rPr>
        <w:t xml:space="preserve">groundwater simulation </w:t>
      </w:r>
      <w:r w:rsidRPr="006F4023">
        <w:rPr>
          <w:rFonts w:ascii="Garamond" w:hAnsi="Garamond"/>
        </w:rPr>
        <w:t xml:space="preserve">models </w:t>
      </w:r>
      <w:r w:rsidR="00013A9B" w:rsidRPr="006F4023">
        <w:rPr>
          <w:rFonts w:ascii="Garamond" w:hAnsi="Garamond"/>
        </w:rPr>
        <w:t xml:space="preserve">are designed and built to </w:t>
      </w:r>
      <w:r w:rsidR="005338D4" w:rsidRPr="006F4023">
        <w:rPr>
          <w:rFonts w:ascii="Garamond" w:hAnsi="Garamond"/>
        </w:rPr>
        <w:t>support the assessment of potential impacts on groundwater assets and GDEs resulting from the proposed development.  Th</w:t>
      </w:r>
      <w:r w:rsidR="00D37086" w:rsidRPr="006F4023">
        <w:rPr>
          <w:rFonts w:ascii="Garamond" w:hAnsi="Garamond"/>
        </w:rPr>
        <w:t>ese models</w:t>
      </w:r>
      <w:r w:rsidR="005338D4" w:rsidRPr="006F4023">
        <w:rPr>
          <w:rFonts w:ascii="Garamond" w:hAnsi="Garamond"/>
        </w:rPr>
        <w:t xml:space="preserve"> </w:t>
      </w:r>
      <w:r w:rsidR="00D37086" w:rsidRPr="006F4023">
        <w:rPr>
          <w:rFonts w:ascii="Garamond" w:hAnsi="Garamond"/>
        </w:rPr>
        <w:t>represent</w:t>
      </w:r>
      <w:r w:rsidR="005338D4" w:rsidRPr="006F4023">
        <w:rPr>
          <w:rFonts w:ascii="Garamond" w:hAnsi="Garamond"/>
        </w:rPr>
        <w:t xml:space="preserve"> </w:t>
      </w:r>
      <w:r w:rsidRPr="006F4023">
        <w:rPr>
          <w:rFonts w:ascii="Garamond" w:hAnsi="Garamond"/>
        </w:rPr>
        <w:t>transient groundwater flow (</w:t>
      </w:r>
      <w:proofErr w:type="gramStart"/>
      <w:r w:rsidRPr="006F4023">
        <w:rPr>
          <w:rFonts w:ascii="Garamond" w:hAnsi="Garamond"/>
        </w:rPr>
        <w:t>i</w:t>
      </w:r>
      <w:r w:rsidR="00135785" w:rsidRPr="006F4023">
        <w:rPr>
          <w:rFonts w:ascii="Garamond" w:hAnsi="Garamond"/>
        </w:rPr>
        <w:t>.</w:t>
      </w:r>
      <w:r w:rsidRPr="006F4023">
        <w:rPr>
          <w:rFonts w:ascii="Garamond" w:hAnsi="Garamond"/>
        </w:rPr>
        <w:t>e.</w:t>
      </w:r>
      <w:proofErr w:type="gramEnd"/>
      <w:r w:rsidRPr="006F4023">
        <w:rPr>
          <w:rFonts w:ascii="Garamond" w:hAnsi="Garamond"/>
        </w:rPr>
        <w:t xml:space="preserve"> changing </w:t>
      </w:r>
      <w:r w:rsidR="00D7584C" w:rsidRPr="006F4023">
        <w:rPr>
          <w:rFonts w:ascii="Garamond" w:hAnsi="Garamond"/>
        </w:rPr>
        <w:t xml:space="preserve">groundwater </w:t>
      </w:r>
      <w:r w:rsidRPr="006F4023">
        <w:rPr>
          <w:rFonts w:ascii="Garamond" w:hAnsi="Garamond"/>
        </w:rPr>
        <w:t>pressure</w:t>
      </w:r>
      <w:r w:rsidR="00D7584C" w:rsidRPr="006F4023">
        <w:rPr>
          <w:rFonts w:ascii="Garamond" w:hAnsi="Garamond"/>
        </w:rPr>
        <w:t>s</w:t>
      </w:r>
      <w:r w:rsidRPr="006F4023">
        <w:rPr>
          <w:rFonts w:ascii="Garamond" w:hAnsi="Garamond"/>
        </w:rPr>
        <w:t xml:space="preserve"> over time)</w:t>
      </w:r>
      <w:r w:rsidR="00C47523" w:rsidRPr="006F4023">
        <w:rPr>
          <w:rFonts w:ascii="Garamond" w:hAnsi="Garamond"/>
        </w:rPr>
        <w:t>, for key stages before, during and after project development</w:t>
      </w:r>
      <w:r w:rsidR="008D31A3" w:rsidRPr="006F4023">
        <w:rPr>
          <w:rFonts w:ascii="Garamond" w:hAnsi="Garamond"/>
        </w:rPr>
        <w:t>. Faults may be represented</w:t>
      </w:r>
      <w:r w:rsidR="00D7584C" w:rsidRPr="006F4023">
        <w:rPr>
          <w:rFonts w:ascii="Garamond" w:hAnsi="Garamond"/>
        </w:rPr>
        <w:t xml:space="preserve"> in the model </w:t>
      </w:r>
      <w:r w:rsidR="00051093" w:rsidRPr="006F4023">
        <w:rPr>
          <w:rFonts w:ascii="Garamond" w:hAnsi="Garamond"/>
        </w:rPr>
        <w:t xml:space="preserve">as </w:t>
      </w:r>
      <w:r w:rsidRPr="006F4023">
        <w:rPr>
          <w:rFonts w:ascii="Garamond" w:hAnsi="Garamond"/>
        </w:rPr>
        <w:t>connected fractures in fault damage zones</w:t>
      </w:r>
      <w:r w:rsidR="00C47523" w:rsidRPr="006F4023">
        <w:rPr>
          <w:rFonts w:ascii="Garamond" w:hAnsi="Garamond"/>
        </w:rPr>
        <w:t xml:space="preserve"> </w:t>
      </w:r>
      <w:r w:rsidR="00D7584C" w:rsidRPr="006F4023">
        <w:rPr>
          <w:rFonts w:ascii="Garamond" w:hAnsi="Garamond"/>
        </w:rPr>
        <w:t>using a discrete fault network (DFN)</w:t>
      </w:r>
      <w:r w:rsidR="00237BE1" w:rsidRPr="006F4023">
        <w:rPr>
          <w:rFonts w:ascii="Garamond" w:hAnsi="Garamond"/>
        </w:rPr>
        <w:t xml:space="preserve"> (</w:t>
      </w:r>
      <w:r w:rsidR="0026691D" w:rsidRPr="006F4023">
        <w:rPr>
          <w:rFonts w:ascii="Garamond" w:hAnsi="Garamond"/>
        </w:rPr>
        <w:t>Cook 2003</w:t>
      </w:r>
      <w:r w:rsidR="00237BE1" w:rsidRPr="006F4023">
        <w:rPr>
          <w:rFonts w:ascii="Garamond" w:hAnsi="Garamond"/>
        </w:rPr>
        <w:t>)</w:t>
      </w:r>
      <w:r w:rsidR="00D7584C" w:rsidRPr="006F4023">
        <w:rPr>
          <w:rFonts w:ascii="Garamond" w:hAnsi="Garamond"/>
        </w:rPr>
        <w:t xml:space="preserve">.  Alternatively, </w:t>
      </w:r>
      <w:r w:rsidR="00237BE1" w:rsidRPr="006F4023">
        <w:rPr>
          <w:rFonts w:ascii="Garamond" w:hAnsi="Garamond"/>
        </w:rPr>
        <w:t xml:space="preserve">equivalent porous media (EPM) methods may be adopted, so that </w:t>
      </w:r>
      <w:r w:rsidR="006E4057" w:rsidRPr="006F4023">
        <w:rPr>
          <w:rFonts w:ascii="Garamond" w:hAnsi="Garamond"/>
        </w:rPr>
        <w:t>faults are</w:t>
      </w:r>
      <w:r w:rsidR="00D7584C" w:rsidRPr="006F4023">
        <w:rPr>
          <w:rFonts w:ascii="Garamond" w:hAnsi="Garamond"/>
        </w:rPr>
        <w:t xml:space="preserve"> </w:t>
      </w:r>
      <w:r w:rsidR="00237BE1" w:rsidRPr="006F4023">
        <w:rPr>
          <w:rFonts w:ascii="Garamond" w:hAnsi="Garamond"/>
        </w:rPr>
        <w:t>represent</w:t>
      </w:r>
      <w:r w:rsidR="006E4057" w:rsidRPr="006F4023">
        <w:rPr>
          <w:rFonts w:ascii="Garamond" w:hAnsi="Garamond"/>
        </w:rPr>
        <w:t xml:space="preserve">ed as altered </w:t>
      </w:r>
      <w:r w:rsidRPr="006F4023">
        <w:rPr>
          <w:rFonts w:ascii="Garamond" w:hAnsi="Garamond"/>
        </w:rPr>
        <w:t>hydraulic propert</w:t>
      </w:r>
      <w:r w:rsidR="006E4057" w:rsidRPr="006F4023">
        <w:rPr>
          <w:rFonts w:ascii="Garamond" w:hAnsi="Garamond"/>
        </w:rPr>
        <w:t xml:space="preserve">y values along the </w:t>
      </w:r>
      <w:r w:rsidRPr="006F4023">
        <w:rPr>
          <w:rFonts w:ascii="Garamond" w:hAnsi="Garamond"/>
        </w:rPr>
        <w:t>fault</w:t>
      </w:r>
      <w:r w:rsidR="00714FC9" w:rsidRPr="006F4023">
        <w:rPr>
          <w:rFonts w:ascii="Garamond" w:hAnsi="Garamond"/>
        </w:rPr>
        <w:t>, albeit with some limitations</w:t>
      </w:r>
      <w:r w:rsidR="00237BE1" w:rsidRPr="006F4023">
        <w:rPr>
          <w:rFonts w:ascii="Garamond" w:hAnsi="Garamond"/>
        </w:rPr>
        <w:t>.</w:t>
      </w:r>
      <w:r w:rsidRPr="006F4023">
        <w:rPr>
          <w:rFonts w:ascii="Garamond" w:hAnsi="Garamond"/>
        </w:rPr>
        <w:t xml:space="preserve"> </w:t>
      </w:r>
      <w:r w:rsidR="006E4057" w:rsidRPr="006F4023">
        <w:rPr>
          <w:rFonts w:ascii="Garamond" w:hAnsi="Garamond"/>
        </w:rPr>
        <w:t>Other methods of representing faults in groundwater models include dual porosity models, which may be used when considering contaminant transport in fractured rock associated with faulting</w:t>
      </w:r>
      <w:r w:rsidR="009A24EA" w:rsidRPr="006F4023">
        <w:rPr>
          <w:rFonts w:ascii="Garamond" w:hAnsi="Garamond"/>
        </w:rPr>
        <w:t xml:space="preserve"> (Sanford et al. 2017)</w:t>
      </w:r>
      <w:r w:rsidR="006E4057" w:rsidRPr="006F4023">
        <w:rPr>
          <w:rFonts w:ascii="Garamond" w:hAnsi="Garamond"/>
        </w:rPr>
        <w:t xml:space="preserve">.  </w:t>
      </w:r>
      <w:r w:rsidRPr="006F4023">
        <w:rPr>
          <w:rFonts w:ascii="Garamond" w:hAnsi="Garamond"/>
        </w:rPr>
        <w:t xml:space="preserve">While there is no single correct representation of faults in models, if a fault related </w:t>
      </w:r>
      <w:r w:rsidR="003F58E8" w:rsidRPr="006F4023">
        <w:rPr>
          <w:rFonts w:ascii="Garamond" w:hAnsi="Garamond"/>
        </w:rPr>
        <w:t xml:space="preserve">groundwater </w:t>
      </w:r>
      <w:r w:rsidRPr="006F4023">
        <w:rPr>
          <w:rFonts w:ascii="Garamond" w:hAnsi="Garamond"/>
        </w:rPr>
        <w:t xml:space="preserve">flow pathway </w:t>
      </w:r>
      <w:r w:rsidR="00BB26D2" w:rsidRPr="006F4023">
        <w:rPr>
          <w:rFonts w:ascii="Garamond" w:hAnsi="Garamond"/>
        </w:rPr>
        <w:t xml:space="preserve">or barrier </w:t>
      </w:r>
      <w:r w:rsidRPr="006F4023">
        <w:rPr>
          <w:rFonts w:ascii="Garamond" w:hAnsi="Garamond"/>
        </w:rPr>
        <w:t xml:space="preserve">is possible, then it </w:t>
      </w:r>
      <w:r w:rsidR="00051093" w:rsidRPr="006F4023">
        <w:rPr>
          <w:rFonts w:ascii="Garamond" w:hAnsi="Garamond"/>
        </w:rPr>
        <w:t>must</w:t>
      </w:r>
      <w:r w:rsidRPr="006F4023">
        <w:rPr>
          <w:rFonts w:ascii="Garamond" w:hAnsi="Garamond"/>
        </w:rPr>
        <w:t xml:space="preserve"> </w:t>
      </w:r>
      <w:r w:rsidR="00BB26D2" w:rsidRPr="006F4023">
        <w:rPr>
          <w:rFonts w:ascii="Garamond" w:hAnsi="Garamond"/>
        </w:rPr>
        <w:t xml:space="preserve">be </w:t>
      </w:r>
      <w:r w:rsidRPr="006F4023">
        <w:rPr>
          <w:rFonts w:ascii="Garamond" w:hAnsi="Garamond"/>
        </w:rPr>
        <w:t xml:space="preserve">represented within the model </w:t>
      </w:r>
      <w:r w:rsidR="006E4057" w:rsidRPr="006F4023">
        <w:rPr>
          <w:rFonts w:ascii="Garamond" w:hAnsi="Garamond"/>
        </w:rPr>
        <w:t xml:space="preserve">in a way that </w:t>
      </w:r>
      <w:r w:rsidRPr="006F4023">
        <w:rPr>
          <w:rFonts w:ascii="Garamond" w:hAnsi="Garamond"/>
        </w:rPr>
        <w:t>give</w:t>
      </w:r>
      <w:r w:rsidR="006E4057" w:rsidRPr="006F4023">
        <w:rPr>
          <w:rFonts w:ascii="Garamond" w:hAnsi="Garamond"/>
        </w:rPr>
        <w:t>s</w:t>
      </w:r>
      <w:r w:rsidRPr="006F4023">
        <w:rPr>
          <w:rFonts w:ascii="Garamond" w:hAnsi="Garamond"/>
        </w:rPr>
        <w:t xml:space="preserve"> a numerical expression to the possible </w:t>
      </w:r>
      <w:r w:rsidR="00BB26D2" w:rsidRPr="006F4023">
        <w:rPr>
          <w:rFonts w:ascii="Garamond" w:hAnsi="Garamond"/>
        </w:rPr>
        <w:t xml:space="preserve">influence of the </w:t>
      </w:r>
      <w:r w:rsidRPr="006F4023">
        <w:rPr>
          <w:rFonts w:ascii="Garamond" w:hAnsi="Garamond"/>
        </w:rPr>
        <w:t xml:space="preserve">fault </w:t>
      </w:r>
      <w:r w:rsidR="00BB26D2" w:rsidRPr="006F4023">
        <w:rPr>
          <w:rFonts w:ascii="Garamond" w:hAnsi="Garamond"/>
        </w:rPr>
        <w:t xml:space="preserve">on </w:t>
      </w:r>
      <w:r w:rsidR="00237BE1" w:rsidRPr="006F4023">
        <w:rPr>
          <w:rFonts w:ascii="Garamond" w:hAnsi="Garamond"/>
        </w:rPr>
        <w:t xml:space="preserve">transient groundwater </w:t>
      </w:r>
      <w:r w:rsidR="00BB26D2" w:rsidRPr="006F4023">
        <w:rPr>
          <w:rFonts w:ascii="Garamond" w:hAnsi="Garamond"/>
        </w:rPr>
        <w:t>flow</w:t>
      </w:r>
      <w:r w:rsidR="00C92074" w:rsidRPr="006F4023">
        <w:rPr>
          <w:rFonts w:ascii="Garamond" w:hAnsi="Garamond"/>
        </w:rPr>
        <w:t xml:space="preserve">, and potentially transport. </w:t>
      </w:r>
      <w:r w:rsidR="00732F03" w:rsidRPr="006F4023">
        <w:rPr>
          <w:rFonts w:ascii="Garamond" w:hAnsi="Garamond"/>
        </w:rPr>
        <w:t xml:space="preserve">A currently accepted approach is “pilot point methodology” (Doherty, 2003; 2015).  </w:t>
      </w:r>
      <w:r w:rsidR="00DB043D" w:rsidRPr="006F4023">
        <w:rPr>
          <w:rFonts w:ascii="Garamond" w:hAnsi="Garamond"/>
        </w:rPr>
        <w:t xml:space="preserve">The adopted model must also be capable of exploring the uncertainty of the simulated outputs. </w:t>
      </w:r>
      <w:r w:rsidR="008A4478" w:rsidRPr="006F4023">
        <w:rPr>
          <w:rFonts w:ascii="Garamond" w:hAnsi="Garamond"/>
        </w:rPr>
        <w:t xml:space="preserve"> </w:t>
      </w:r>
      <w:r w:rsidR="008D31A3" w:rsidRPr="006F4023">
        <w:rPr>
          <w:rFonts w:ascii="Garamond" w:hAnsi="Garamond"/>
        </w:rPr>
        <w:t xml:space="preserve">Some models may also need to account for changing fault zone </w:t>
      </w:r>
      <w:proofErr w:type="gramStart"/>
      <w:r w:rsidR="008D31A3" w:rsidRPr="006F4023">
        <w:rPr>
          <w:rFonts w:ascii="Garamond" w:hAnsi="Garamond"/>
        </w:rPr>
        <w:t>properties, if</w:t>
      </w:r>
      <w:proofErr w:type="gramEnd"/>
      <w:r w:rsidR="008D31A3" w:rsidRPr="006F4023">
        <w:rPr>
          <w:rFonts w:ascii="Garamond" w:hAnsi="Garamond"/>
        </w:rPr>
        <w:t xml:space="preserve"> these are likely to change during or post the development period</w:t>
      </w:r>
      <w:r w:rsidR="00237BE1" w:rsidRPr="006F4023">
        <w:rPr>
          <w:rFonts w:ascii="Garamond" w:hAnsi="Garamond"/>
        </w:rPr>
        <w:t xml:space="preserve"> (</w:t>
      </w:r>
      <w:r w:rsidR="009A24EA" w:rsidRPr="006F4023">
        <w:rPr>
          <w:rFonts w:ascii="Garamond" w:hAnsi="Garamond"/>
        </w:rPr>
        <w:t>Wang et al. 2016; Newman et al. 2017</w:t>
      </w:r>
      <w:r w:rsidR="00411DC6" w:rsidRPr="006F4023">
        <w:rPr>
          <w:rFonts w:ascii="Garamond" w:hAnsi="Garamond"/>
        </w:rPr>
        <w:t>; Doherty and Moore 2020</w:t>
      </w:r>
      <w:r w:rsidR="00237BE1" w:rsidRPr="006F4023">
        <w:rPr>
          <w:rFonts w:ascii="Garamond" w:hAnsi="Garamond"/>
        </w:rPr>
        <w:t>)</w:t>
      </w:r>
      <w:r w:rsidR="008D31A3" w:rsidRPr="006F4023">
        <w:rPr>
          <w:rFonts w:ascii="Garamond" w:hAnsi="Garamond"/>
        </w:rPr>
        <w:t xml:space="preserve">.  </w:t>
      </w:r>
    </w:p>
    <w:p w14:paraId="63BA6DEF" w14:textId="17DA9AF8" w:rsidR="00FC261A" w:rsidRPr="006F4023" w:rsidRDefault="00FC261A" w:rsidP="00C51958">
      <w:pPr>
        <w:pStyle w:val="06DOTPOINTS"/>
        <w:numPr>
          <w:ilvl w:val="0"/>
          <w:numId w:val="6"/>
        </w:numPr>
        <w:spacing w:line="240" w:lineRule="auto"/>
        <w:rPr>
          <w:rFonts w:ascii="Garamond" w:hAnsi="Garamond"/>
        </w:rPr>
      </w:pPr>
      <w:r w:rsidRPr="006F4023">
        <w:rPr>
          <w:rFonts w:ascii="Garamond" w:hAnsi="Garamond"/>
        </w:rPr>
        <w:t xml:space="preserve">Third, the </w:t>
      </w:r>
      <w:r w:rsidR="006E4057" w:rsidRPr="006F4023">
        <w:rPr>
          <w:rFonts w:ascii="Garamond" w:hAnsi="Garamond"/>
        </w:rPr>
        <w:t xml:space="preserve">models are used to assess the </w:t>
      </w:r>
      <w:r w:rsidRPr="006F4023">
        <w:rPr>
          <w:rFonts w:ascii="Garamond" w:hAnsi="Garamond"/>
        </w:rPr>
        <w:t>likelihood and significance of consequences for groundwater assets or GDEs related to the potential development scenarios</w:t>
      </w:r>
      <w:r w:rsidR="00051093" w:rsidRPr="006F4023">
        <w:rPr>
          <w:rFonts w:ascii="Garamond" w:hAnsi="Garamond"/>
        </w:rPr>
        <w:t>.</w:t>
      </w:r>
      <w:r w:rsidRPr="006F4023">
        <w:rPr>
          <w:rFonts w:ascii="Garamond" w:hAnsi="Garamond"/>
        </w:rPr>
        <w:t xml:space="preserve"> In some cases, </w:t>
      </w:r>
      <w:r w:rsidR="00051093" w:rsidRPr="006F4023">
        <w:rPr>
          <w:rFonts w:ascii="Garamond" w:hAnsi="Garamond"/>
        </w:rPr>
        <w:t xml:space="preserve">the presence of </w:t>
      </w:r>
      <w:r w:rsidRPr="006F4023">
        <w:rPr>
          <w:rFonts w:ascii="Garamond" w:hAnsi="Garamond"/>
        </w:rPr>
        <w:t xml:space="preserve">faults </w:t>
      </w:r>
      <w:r w:rsidR="00051093" w:rsidRPr="006F4023">
        <w:rPr>
          <w:rFonts w:ascii="Garamond" w:hAnsi="Garamond"/>
        </w:rPr>
        <w:t>may not be a</w:t>
      </w:r>
      <w:r w:rsidRPr="006F4023">
        <w:rPr>
          <w:rFonts w:ascii="Garamond" w:hAnsi="Garamond"/>
        </w:rPr>
        <w:t xml:space="preserve"> significant </w:t>
      </w:r>
      <w:r w:rsidR="00051093" w:rsidRPr="006F4023">
        <w:rPr>
          <w:rFonts w:ascii="Garamond" w:hAnsi="Garamond"/>
        </w:rPr>
        <w:t xml:space="preserve">factor in the simulated </w:t>
      </w:r>
      <w:r w:rsidRPr="006F4023">
        <w:rPr>
          <w:rFonts w:ascii="Garamond" w:hAnsi="Garamond"/>
        </w:rPr>
        <w:t xml:space="preserve">changes </w:t>
      </w:r>
      <w:r w:rsidR="00051093" w:rsidRPr="006F4023">
        <w:rPr>
          <w:rFonts w:ascii="Garamond" w:hAnsi="Garamond"/>
        </w:rPr>
        <w:t xml:space="preserve">to </w:t>
      </w:r>
      <w:r w:rsidR="003F58E8" w:rsidRPr="006F4023">
        <w:rPr>
          <w:rFonts w:ascii="Garamond" w:hAnsi="Garamond"/>
        </w:rPr>
        <w:t xml:space="preserve">groundwater </w:t>
      </w:r>
      <w:r w:rsidRPr="006F4023">
        <w:rPr>
          <w:rFonts w:ascii="Garamond" w:hAnsi="Garamond"/>
        </w:rPr>
        <w:t xml:space="preserve">flow paths and environmental consequences. </w:t>
      </w:r>
      <w:r w:rsidR="00C568F8" w:rsidRPr="006F4023">
        <w:rPr>
          <w:rFonts w:ascii="Garamond" w:hAnsi="Garamond"/>
        </w:rPr>
        <w:t>In</w:t>
      </w:r>
      <w:r w:rsidRPr="006F4023">
        <w:rPr>
          <w:rFonts w:ascii="Garamond" w:hAnsi="Garamond"/>
        </w:rPr>
        <w:t xml:space="preserve"> others, detailed analysis of the likely </w:t>
      </w:r>
      <w:r w:rsidR="00F216A8" w:rsidRPr="006F4023">
        <w:rPr>
          <w:rFonts w:ascii="Garamond" w:hAnsi="Garamond"/>
        </w:rPr>
        <w:t xml:space="preserve">groundwater </w:t>
      </w:r>
      <w:r w:rsidRPr="006F4023">
        <w:rPr>
          <w:rFonts w:ascii="Garamond" w:hAnsi="Garamond"/>
        </w:rPr>
        <w:t xml:space="preserve">flow and storage changes that occur in relation to geological faults at key stages of development </w:t>
      </w:r>
      <w:r w:rsidR="00051093" w:rsidRPr="006F4023">
        <w:rPr>
          <w:rFonts w:ascii="Garamond" w:hAnsi="Garamond"/>
        </w:rPr>
        <w:t>may be required</w:t>
      </w:r>
      <w:r w:rsidR="008466CA" w:rsidRPr="006F4023">
        <w:rPr>
          <w:rFonts w:ascii="Garamond" w:hAnsi="Garamond"/>
        </w:rPr>
        <w:t xml:space="preserve"> and this may include evaluation of </w:t>
      </w:r>
      <w:r w:rsidR="00F10442" w:rsidRPr="006F4023">
        <w:rPr>
          <w:rFonts w:ascii="Garamond" w:hAnsi="Garamond"/>
        </w:rPr>
        <w:t xml:space="preserve">changes in the magnitude of permeability around </w:t>
      </w:r>
      <w:r w:rsidR="008466CA" w:rsidRPr="006F4023">
        <w:rPr>
          <w:rFonts w:ascii="Garamond" w:hAnsi="Garamond"/>
        </w:rPr>
        <w:t>fault</w:t>
      </w:r>
      <w:r w:rsidR="00F10442" w:rsidRPr="006F4023">
        <w:rPr>
          <w:rFonts w:ascii="Garamond" w:hAnsi="Garamond"/>
        </w:rPr>
        <w:t>s</w:t>
      </w:r>
      <w:r w:rsidR="008466CA" w:rsidRPr="006F4023">
        <w:rPr>
          <w:rFonts w:ascii="Garamond" w:hAnsi="Garamond"/>
        </w:rPr>
        <w:t xml:space="preserve"> or fracture</w:t>
      </w:r>
      <w:r w:rsidR="00F10442" w:rsidRPr="006F4023">
        <w:rPr>
          <w:rFonts w:ascii="Garamond" w:hAnsi="Garamond"/>
        </w:rPr>
        <w:t>s</w:t>
      </w:r>
      <w:r w:rsidR="008466CA" w:rsidRPr="006F4023">
        <w:rPr>
          <w:rFonts w:ascii="Garamond" w:hAnsi="Garamond"/>
        </w:rPr>
        <w:t xml:space="preserve"> due to depressurisation</w:t>
      </w:r>
      <w:r w:rsidRPr="006F4023">
        <w:rPr>
          <w:rFonts w:ascii="Garamond" w:hAnsi="Garamond"/>
        </w:rPr>
        <w:t xml:space="preserve">. The scope of this </w:t>
      </w:r>
      <w:r w:rsidR="00704591" w:rsidRPr="006F4023">
        <w:rPr>
          <w:rFonts w:ascii="Garamond" w:hAnsi="Garamond"/>
        </w:rPr>
        <w:t>Explanatory Note</w:t>
      </w:r>
      <w:r w:rsidRPr="006F4023">
        <w:rPr>
          <w:rFonts w:ascii="Garamond" w:hAnsi="Garamond"/>
        </w:rPr>
        <w:t xml:space="preserve"> </w:t>
      </w:r>
      <w:r w:rsidR="008466CA" w:rsidRPr="006F4023">
        <w:rPr>
          <w:rFonts w:ascii="Garamond" w:hAnsi="Garamond"/>
        </w:rPr>
        <w:t xml:space="preserve">considers the hydrogeological domain; it </w:t>
      </w:r>
      <w:r w:rsidRPr="006F4023">
        <w:rPr>
          <w:rFonts w:ascii="Garamond" w:hAnsi="Garamond"/>
        </w:rPr>
        <w:t xml:space="preserve">does not extend to detailed consideration of potential consequences for groundwater assets and GDEs. </w:t>
      </w:r>
    </w:p>
    <w:p w14:paraId="7821424B" w14:textId="43DDD433" w:rsidR="008466CA" w:rsidRPr="002A7BAB" w:rsidRDefault="00C4692A" w:rsidP="0089250F">
      <w:pPr>
        <w:pStyle w:val="BodyText"/>
        <w:rPr>
          <w:lang w:val="en-AU"/>
        </w:rPr>
      </w:pPr>
      <w:r w:rsidRPr="006F4023">
        <w:rPr>
          <w:lang w:val="en-AU"/>
        </w:rPr>
        <w:t>Formal r</w:t>
      </w:r>
      <w:r w:rsidR="008466CA" w:rsidRPr="006F4023">
        <w:rPr>
          <w:lang w:val="en-AU"/>
        </w:rPr>
        <w:t xml:space="preserve">isk management </w:t>
      </w:r>
      <w:r w:rsidRPr="006F4023">
        <w:rPr>
          <w:lang w:val="en-AU"/>
        </w:rPr>
        <w:t xml:space="preserve">assesses risk as a function of the probability of an event occurring, and the consequence of the event. This Explanatory Note is primarily focused on the probability that the presence and nature of faults leads </w:t>
      </w:r>
      <w:r w:rsidRPr="006F4023">
        <w:rPr>
          <w:lang w:val="en-AU"/>
        </w:rPr>
        <w:lastRenderedPageBreak/>
        <w:t>to an adverse ‘event’, such as drawdown propagating through an aquitard. The consequence of an event is highly dependent on the characteristics of the recepto</w:t>
      </w:r>
      <w:r w:rsidRPr="0038473D">
        <w:rPr>
          <w:lang w:val="en-AU"/>
        </w:rPr>
        <w:t xml:space="preserve">r; a landholder bore being very different to a GDE. </w:t>
      </w:r>
      <w:r w:rsidR="008D73ED" w:rsidRPr="0038473D">
        <w:rPr>
          <w:lang w:val="en-AU"/>
        </w:rPr>
        <w:t>The overall assessment of risk needs to take account of receptors, and consequences to them. This is addressed further in Section 5.</w:t>
      </w:r>
    </w:p>
    <w:p w14:paraId="021865FC" w14:textId="006F2309" w:rsidR="00532D62" w:rsidRPr="006F4023" w:rsidRDefault="0014359B" w:rsidP="00532D62">
      <w:r w:rsidRPr="006F4023">
        <w:rPr>
          <w:noProof/>
          <w:lang w:eastAsia="en-AU"/>
        </w:rPr>
        <w:t xml:space="preserve"> </w:t>
      </w:r>
      <w:r w:rsidR="0008411A">
        <w:rPr>
          <w:noProof/>
          <w:lang w:eastAsia="en-AU"/>
        </w:rPr>
        <w:drawing>
          <wp:inline distT="0" distB="0" distL="0" distR="0" wp14:anchorId="0371169A" wp14:editId="4C8D386F">
            <wp:extent cx="5684159" cy="408035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636" cy="4135250"/>
                    </a:xfrm>
                    <a:prstGeom prst="rect">
                      <a:avLst/>
                    </a:prstGeom>
                    <a:noFill/>
                  </pic:spPr>
                </pic:pic>
              </a:graphicData>
            </a:graphic>
          </wp:inline>
        </w:drawing>
      </w:r>
    </w:p>
    <w:p w14:paraId="7D0D2732" w14:textId="08941D45" w:rsidR="00FC261A" w:rsidRPr="0038473D" w:rsidRDefault="00FC261A" w:rsidP="00FC261A">
      <w:pPr>
        <w:pStyle w:val="Caption"/>
      </w:pPr>
      <w:bookmarkStart w:id="37" w:name="_Ref56787229"/>
      <w:r w:rsidRPr="006F4023">
        <w:t xml:space="preserve">Figure </w:t>
      </w:r>
      <w:r w:rsidRPr="006F4023">
        <w:fldChar w:fldCharType="begin"/>
      </w:r>
      <w:r w:rsidRPr="0038473D">
        <w:instrText xml:space="preserve"> SEQ Figure \* ARABIC </w:instrText>
      </w:r>
      <w:r w:rsidRPr="006F4023">
        <w:fldChar w:fldCharType="separate"/>
      </w:r>
      <w:r w:rsidR="00047351">
        <w:rPr>
          <w:noProof/>
        </w:rPr>
        <w:t>2</w:t>
      </w:r>
      <w:r w:rsidRPr="006F4023">
        <w:fldChar w:fldCharType="end"/>
      </w:r>
      <w:bookmarkEnd w:id="37"/>
      <w:r w:rsidR="00704591" w:rsidRPr="006F4023">
        <w:t>:</w:t>
      </w:r>
      <w:r w:rsidRPr="006F4023">
        <w:t xml:space="preserve"> Flow diagram for the geological assessment and the geological/hydrological assessment of fault related flow for a CSG or LCM development. This Explanatory Note focusses on the areas within the blue background (dark blue b</w:t>
      </w:r>
      <w:r w:rsidRPr="0038473D">
        <w:t>ox).</w:t>
      </w:r>
    </w:p>
    <w:p w14:paraId="7FED953D" w14:textId="1AE9268A" w:rsidR="00FC261A" w:rsidRPr="0038473D" w:rsidRDefault="00FB3BB6" w:rsidP="002A7BAB">
      <w:pPr>
        <w:pStyle w:val="Heading2Numbered"/>
        <w:ind w:left="567" w:hanging="567"/>
      </w:pPr>
      <w:bookmarkStart w:id="38" w:name="_Toc55935131"/>
      <w:bookmarkStart w:id="39" w:name="_Toc55935223"/>
      <w:bookmarkStart w:id="40" w:name="_Toc55935592"/>
      <w:bookmarkStart w:id="41" w:name="_Toc56782032"/>
      <w:bookmarkStart w:id="42" w:name="_Toc56782167"/>
      <w:bookmarkStart w:id="43" w:name="_Toc57021603"/>
      <w:bookmarkStart w:id="44" w:name="_Toc57266918"/>
      <w:bookmarkStart w:id="45" w:name="_Toc55935132"/>
      <w:bookmarkStart w:id="46" w:name="_Toc55935224"/>
      <w:bookmarkStart w:id="47" w:name="_Toc55935593"/>
      <w:bookmarkStart w:id="48" w:name="_Toc56782033"/>
      <w:bookmarkStart w:id="49" w:name="_Toc56782168"/>
      <w:bookmarkStart w:id="50" w:name="_Toc57021604"/>
      <w:bookmarkStart w:id="51" w:name="_Toc57266919"/>
      <w:bookmarkStart w:id="52" w:name="_Toc55935133"/>
      <w:bookmarkStart w:id="53" w:name="_Toc55935225"/>
      <w:bookmarkStart w:id="54" w:name="_Toc55935594"/>
      <w:bookmarkStart w:id="55" w:name="_Toc56782034"/>
      <w:bookmarkStart w:id="56" w:name="_Toc56782169"/>
      <w:bookmarkStart w:id="57" w:name="_Toc57021605"/>
      <w:bookmarkStart w:id="58" w:name="_Toc57266920"/>
      <w:bookmarkStart w:id="59" w:name="_Toc55935134"/>
      <w:bookmarkStart w:id="60" w:name="_Toc55935226"/>
      <w:bookmarkStart w:id="61" w:name="_Toc55935595"/>
      <w:bookmarkStart w:id="62" w:name="_Toc56782035"/>
      <w:bookmarkStart w:id="63" w:name="_Toc56782170"/>
      <w:bookmarkStart w:id="64" w:name="_Toc57021606"/>
      <w:bookmarkStart w:id="65" w:name="_Toc57266921"/>
      <w:bookmarkStart w:id="66" w:name="_Toc55935135"/>
      <w:bookmarkStart w:id="67" w:name="_Toc55935227"/>
      <w:bookmarkStart w:id="68" w:name="_Toc55935596"/>
      <w:bookmarkStart w:id="69" w:name="_Toc56782036"/>
      <w:bookmarkStart w:id="70" w:name="_Toc56782171"/>
      <w:bookmarkStart w:id="71" w:name="_Toc57021607"/>
      <w:bookmarkStart w:id="72" w:name="_Toc57266922"/>
      <w:bookmarkStart w:id="73" w:name="_Toc55935136"/>
      <w:bookmarkStart w:id="74" w:name="_Toc55935228"/>
      <w:bookmarkStart w:id="75" w:name="_Toc55935597"/>
      <w:bookmarkStart w:id="76" w:name="_Toc56782037"/>
      <w:bookmarkStart w:id="77" w:name="_Toc56782172"/>
      <w:bookmarkStart w:id="78" w:name="_Toc57021608"/>
      <w:bookmarkStart w:id="79" w:name="_Toc57266923"/>
      <w:bookmarkStart w:id="80" w:name="_Toc55935137"/>
      <w:bookmarkStart w:id="81" w:name="_Toc55935229"/>
      <w:bookmarkStart w:id="82" w:name="_Toc55935598"/>
      <w:bookmarkStart w:id="83" w:name="_Toc56782038"/>
      <w:bookmarkStart w:id="84" w:name="_Toc56782173"/>
      <w:bookmarkStart w:id="85" w:name="_Toc57021609"/>
      <w:bookmarkStart w:id="86" w:name="_Toc57266924"/>
      <w:bookmarkStart w:id="87" w:name="_Toc55935138"/>
      <w:bookmarkStart w:id="88" w:name="_Toc55935230"/>
      <w:bookmarkStart w:id="89" w:name="_Toc55935599"/>
      <w:bookmarkStart w:id="90" w:name="_Toc56782039"/>
      <w:bookmarkStart w:id="91" w:name="_Toc56782174"/>
      <w:bookmarkStart w:id="92" w:name="_Toc57021610"/>
      <w:bookmarkStart w:id="93" w:name="_Toc57266925"/>
      <w:bookmarkStart w:id="94" w:name="_Toc55935139"/>
      <w:bookmarkStart w:id="95" w:name="_Toc55935231"/>
      <w:bookmarkStart w:id="96" w:name="_Toc55935600"/>
      <w:bookmarkStart w:id="97" w:name="_Toc56782040"/>
      <w:bookmarkStart w:id="98" w:name="_Toc56782175"/>
      <w:bookmarkStart w:id="99" w:name="_Toc57021611"/>
      <w:bookmarkStart w:id="100" w:name="_Toc57266926"/>
      <w:bookmarkStart w:id="101" w:name="_Toc55848957"/>
      <w:bookmarkStart w:id="102" w:name="_Toc42765086"/>
      <w:bookmarkStart w:id="103" w:name="_Toc66967171"/>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r w:rsidRPr="0038473D">
        <w:t xml:space="preserve">Objectives </w:t>
      </w:r>
      <w:r w:rsidR="00FC261A" w:rsidRPr="0038473D">
        <w:t>of this Explanatory Note</w:t>
      </w:r>
      <w:bookmarkEnd w:id="102"/>
      <w:bookmarkEnd w:id="103"/>
    </w:p>
    <w:p w14:paraId="3C438CF8" w14:textId="007CF63D" w:rsidR="00FB3BB6" w:rsidRPr="0038473D" w:rsidRDefault="0082617A" w:rsidP="00FB3BB6">
      <w:pPr>
        <w:pStyle w:val="BodyText"/>
        <w:rPr>
          <w:lang w:val="en-AU"/>
        </w:rPr>
      </w:pPr>
      <w:bookmarkStart w:id="104" w:name="_Toc42765087"/>
      <w:r w:rsidRPr="002A7BAB">
        <w:rPr>
          <w:lang w:val="en-AU"/>
        </w:rPr>
        <w:t xml:space="preserve">The overall aim of this </w:t>
      </w:r>
      <w:r w:rsidRPr="006F4023">
        <w:rPr>
          <w:lang w:val="en-AU"/>
        </w:rPr>
        <w:t>Explanatory Note is to assist proponents preparing EIA</w:t>
      </w:r>
      <w:r w:rsidR="0038473D">
        <w:rPr>
          <w:lang w:val="en-AU"/>
        </w:rPr>
        <w:t>s</w:t>
      </w:r>
      <w:r w:rsidR="00257F8F" w:rsidRPr="0038473D">
        <w:rPr>
          <w:lang w:val="en-AU"/>
        </w:rPr>
        <w:t xml:space="preserve"> </w:t>
      </w:r>
      <w:r w:rsidRPr="0038473D">
        <w:rPr>
          <w:lang w:val="en-AU"/>
        </w:rPr>
        <w:t xml:space="preserve">to address the risks posed to groundwater assets by geological faults acting as pathways or barriers. </w:t>
      </w:r>
      <w:r w:rsidR="00257F8F" w:rsidRPr="0038473D">
        <w:rPr>
          <w:lang w:val="en-AU"/>
        </w:rPr>
        <w:t xml:space="preserve"> To achieve that the objectives of this Explanatory Note are:</w:t>
      </w:r>
    </w:p>
    <w:p w14:paraId="2CCF5FA5" w14:textId="000CA8F9" w:rsidR="00257F8F" w:rsidRPr="0038473D" w:rsidRDefault="00257F8F" w:rsidP="00257F8F">
      <w:pPr>
        <w:pStyle w:val="06DOTPOINTS"/>
        <w:numPr>
          <w:ilvl w:val="0"/>
          <w:numId w:val="6"/>
        </w:numPr>
        <w:spacing w:line="240" w:lineRule="auto"/>
        <w:rPr>
          <w:rFonts w:ascii="Garamond" w:hAnsi="Garamond"/>
        </w:rPr>
      </w:pPr>
      <w:r w:rsidRPr="0038473D">
        <w:rPr>
          <w:rFonts w:ascii="Garamond" w:hAnsi="Garamond"/>
        </w:rPr>
        <w:t xml:space="preserve">To highlight the types of investigations and data that can be used to help characterise </w:t>
      </w:r>
      <w:r w:rsidR="00F944CF" w:rsidRPr="0038473D">
        <w:rPr>
          <w:rFonts w:ascii="Garamond" w:hAnsi="Garamond"/>
        </w:rPr>
        <w:t>faults.</w:t>
      </w:r>
    </w:p>
    <w:p w14:paraId="3C6254E6" w14:textId="24694E9E" w:rsidR="00257F8F" w:rsidRPr="0038473D" w:rsidRDefault="00257F8F" w:rsidP="00257F8F">
      <w:pPr>
        <w:pStyle w:val="06DOTPOINTS"/>
        <w:numPr>
          <w:ilvl w:val="0"/>
          <w:numId w:val="6"/>
        </w:numPr>
        <w:spacing w:line="240" w:lineRule="auto"/>
        <w:rPr>
          <w:rFonts w:ascii="Garamond" w:hAnsi="Garamond"/>
        </w:rPr>
      </w:pPr>
      <w:r w:rsidRPr="0038473D">
        <w:rPr>
          <w:rFonts w:ascii="Garamond" w:hAnsi="Garamond"/>
        </w:rPr>
        <w:t>To present an overview of fault definitions and techniques that can be used to help visualise displacement</w:t>
      </w:r>
      <w:r w:rsidR="00F944CF" w:rsidRPr="0038473D">
        <w:rPr>
          <w:rFonts w:ascii="Garamond" w:hAnsi="Garamond"/>
        </w:rPr>
        <w:t>.</w:t>
      </w:r>
    </w:p>
    <w:p w14:paraId="59BC2A41" w14:textId="68B5C78D" w:rsidR="00257F8F" w:rsidRPr="0038473D" w:rsidRDefault="00257F8F" w:rsidP="00257F8F">
      <w:pPr>
        <w:pStyle w:val="06DOTPOINTS"/>
        <w:numPr>
          <w:ilvl w:val="0"/>
          <w:numId w:val="6"/>
        </w:numPr>
        <w:spacing w:line="240" w:lineRule="auto"/>
        <w:rPr>
          <w:rFonts w:ascii="Garamond" w:hAnsi="Garamond"/>
        </w:rPr>
      </w:pPr>
      <w:r w:rsidRPr="0038473D">
        <w:rPr>
          <w:rFonts w:ascii="Garamond" w:hAnsi="Garamond"/>
        </w:rPr>
        <w:t>To present general steps that can be taken to conceptualise the hydrogeological role of fault and to identify risk pathways</w:t>
      </w:r>
      <w:r w:rsidR="00F944CF" w:rsidRPr="0038473D">
        <w:rPr>
          <w:rFonts w:ascii="Garamond" w:hAnsi="Garamond"/>
        </w:rPr>
        <w:t>.</w:t>
      </w:r>
    </w:p>
    <w:p w14:paraId="03CF398E" w14:textId="3E65435D" w:rsidR="00257F8F" w:rsidRPr="0038473D" w:rsidRDefault="00257F8F" w:rsidP="00257F8F">
      <w:pPr>
        <w:pStyle w:val="06DOTPOINTS"/>
        <w:numPr>
          <w:ilvl w:val="0"/>
          <w:numId w:val="6"/>
        </w:numPr>
        <w:spacing w:line="240" w:lineRule="auto"/>
        <w:rPr>
          <w:rFonts w:ascii="Garamond" w:hAnsi="Garamond"/>
        </w:rPr>
      </w:pPr>
      <w:r w:rsidRPr="0038473D">
        <w:rPr>
          <w:rFonts w:ascii="Garamond" w:hAnsi="Garamond"/>
        </w:rPr>
        <w:t>Provi</w:t>
      </w:r>
      <w:r w:rsidR="00F944CF" w:rsidRPr="0038473D">
        <w:rPr>
          <w:rFonts w:ascii="Garamond" w:hAnsi="Garamond"/>
        </w:rPr>
        <w:t>sion of</w:t>
      </w:r>
      <w:r w:rsidRPr="0038473D">
        <w:rPr>
          <w:rFonts w:ascii="Garamond" w:hAnsi="Garamond"/>
        </w:rPr>
        <w:t xml:space="preserve"> an outline of methods for numerical simulation of groundwater flow including faults to aid in assessment</w:t>
      </w:r>
      <w:r w:rsidR="00F944CF" w:rsidRPr="0038473D">
        <w:rPr>
          <w:rFonts w:ascii="Garamond" w:hAnsi="Garamond"/>
        </w:rPr>
        <w:t>.</w:t>
      </w:r>
    </w:p>
    <w:p w14:paraId="22D1090D" w14:textId="1C4E4976" w:rsidR="00FB3BB6" w:rsidRPr="0038473D" w:rsidRDefault="00F944CF" w:rsidP="0038473D">
      <w:pPr>
        <w:pStyle w:val="06DOTPOINTS"/>
        <w:numPr>
          <w:ilvl w:val="0"/>
          <w:numId w:val="6"/>
        </w:numPr>
        <w:spacing w:line="240" w:lineRule="auto"/>
        <w:rPr>
          <w:rFonts w:ascii="Garamond" w:hAnsi="Garamond"/>
        </w:rPr>
      </w:pPr>
      <w:r w:rsidRPr="0038473D">
        <w:rPr>
          <w:rFonts w:ascii="Garamond" w:hAnsi="Garamond"/>
        </w:rPr>
        <w:t xml:space="preserve">To illustrate </w:t>
      </w:r>
      <w:r w:rsidR="00257F8F" w:rsidRPr="0038473D">
        <w:rPr>
          <w:rFonts w:ascii="Garamond" w:hAnsi="Garamond"/>
        </w:rPr>
        <w:t xml:space="preserve">application of risk assessment </w:t>
      </w:r>
      <w:r w:rsidRPr="0038473D">
        <w:rPr>
          <w:rFonts w:ascii="Garamond" w:hAnsi="Garamond"/>
        </w:rPr>
        <w:t xml:space="preserve">using </w:t>
      </w:r>
      <w:r w:rsidR="00257F8F" w:rsidRPr="0038473D">
        <w:rPr>
          <w:rFonts w:ascii="Garamond" w:hAnsi="Garamond"/>
        </w:rPr>
        <w:t>example scenarios that consider different project and geological settings.</w:t>
      </w:r>
    </w:p>
    <w:p w14:paraId="3BF89711" w14:textId="77BFE44C" w:rsidR="00C250E8" w:rsidRPr="0038473D" w:rsidRDefault="0038473D" w:rsidP="00C250E8">
      <w:pPr>
        <w:pStyle w:val="06DOTPOINTS"/>
        <w:spacing w:line="240" w:lineRule="auto"/>
        <w:ind w:left="0" w:firstLine="0"/>
        <w:rPr>
          <w:rFonts w:ascii="Garamond" w:hAnsi="Garamond"/>
        </w:rPr>
      </w:pPr>
      <w:r>
        <w:rPr>
          <w:rFonts w:ascii="Garamond" w:hAnsi="Garamond"/>
        </w:rPr>
        <w:t xml:space="preserve">In publishing this Explanatory Note, </w:t>
      </w:r>
      <w:r w:rsidR="00C250E8" w:rsidRPr="0038473D">
        <w:rPr>
          <w:rFonts w:ascii="Garamond" w:hAnsi="Garamond"/>
        </w:rPr>
        <w:t xml:space="preserve">the </w:t>
      </w:r>
      <w:r w:rsidR="00257F8F" w:rsidRPr="0038473D">
        <w:rPr>
          <w:rFonts w:ascii="Garamond" w:hAnsi="Garamond"/>
        </w:rPr>
        <w:t xml:space="preserve">IESC is </w:t>
      </w:r>
      <w:r>
        <w:rPr>
          <w:rFonts w:ascii="Garamond" w:hAnsi="Garamond"/>
        </w:rPr>
        <w:t xml:space="preserve">setting out the </w:t>
      </w:r>
      <w:r w:rsidR="00257F8F" w:rsidRPr="0038473D">
        <w:rPr>
          <w:rFonts w:ascii="Garamond" w:hAnsi="Garamond"/>
        </w:rPr>
        <w:t xml:space="preserve">evidence </w:t>
      </w:r>
      <w:r>
        <w:rPr>
          <w:rFonts w:ascii="Garamond" w:hAnsi="Garamond"/>
        </w:rPr>
        <w:t xml:space="preserve">required to </w:t>
      </w:r>
      <w:r w:rsidR="00257F8F" w:rsidRPr="0038473D">
        <w:rPr>
          <w:rFonts w:ascii="Garamond" w:hAnsi="Garamond"/>
        </w:rPr>
        <w:t>support</w:t>
      </w:r>
      <w:r>
        <w:rPr>
          <w:rFonts w:ascii="Garamond" w:hAnsi="Garamond"/>
        </w:rPr>
        <w:t>s</w:t>
      </w:r>
      <w:r w:rsidR="00257F8F" w:rsidRPr="0038473D">
        <w:rPr>
          <w:rFonts w:ascii="Garamond" w:hAnsi="Garamond"/>
        </w:rPr>
        <w:t xml:space="preserve"> statements </w:t>
      </w:r>
      <w:r w:rsidR="00C250E8" w:rsidRPr="0038473D">
        <w:rPr>
          <w:rFonts w:ascii="Garamond" w:hAnsi="Garamond"/>
        </w:rPr>
        <w:t xml:space="preserve">made </w:t>
      </w:r>
      <w:r w:rsidR="00257F8F" w:rsidRPr="0038473D">
        <w:rPr>
          <w:rFonts w:ascii="Garamond" w:hAnsi="Garamond"/>
        </w:rPr>
        <w:t xml:space="preserve">within </w:t>
      </w:r>
      <w:r w:rsidR="00C250E8" w:rsidRPr="0038473D">
        <w:rPr>
          <w:rFonts w:ascii="Garamond" w:hAnsi="Garamond"/>
        </w:rPr>
        <w:t>EIAs</w:t>
      </w:r>
      <w:r w:rsidR="00257F8F" w:rsidRPr="0038473D">
        <w:rPr>
          <w:rFonts w:ascii="Garamond" w:hAnsi="Garamond"/>
        </w:rPr>
        <w:t>.</w:t>
      </w:r>
      <w:r w:rsidR="00C250E8" w:rsidRPr="0038473D">
        <w:rPr>
          <w:rFonts w:ascii="Garamond" w:hAnsi="Garamond"/>
        </w:rPr>
        <w:t xml:space="preserve">  </w:t>
      </w:r>
    </w:p>
    <w:p w14:paraId="13E00F07" w14:textId="50F6233B" w:rsidR="00361B41" w:rsidRPr="0038473D" w:rsidRDefault="00C250E8" w:rsidP="002A7BAB">
      <w:pPr>
        <w:pStyle w:val="06DOTPOINTS"/>
        <w:spacing w:line="240" w:lineRule="auto"/>
        <w:ind w:left="0" w:firstLine="0"/>
      </w:pPr>
      <w:r w:rsidRPr="002A7BAB">
        <w:rPr>
          <w:rFonts w:ascii="Garamond" w:hAnsi="Garamond"/>
        </w:rPr>
        <w:t xml:space="preserve">In terms of its scope, this Explanatory Note is not intended to be a </w:t>
      </w:r>
      <w:proofErr w:type="gramStart"/>
      <w:r w:rsidRPr="002A7BAB">
        <w:rPr>
          <w:rFonts w:ascii="Garamond" w:hAnsi="Garamond"/>
        </w:rPr>
        <w:t>text-</w:t>
      </w:r>
      <w:r w:rsidR="0038473D" w:rsidRPr="0038473D">
        <w:rPr>
          <w:rFonts w:ascii="Garamond" w:hAnsi="Garamond"/>
        </w:rPr>
        <w:t>book</w:t>
      </w:r>
      <w:proofErr w:type="gramEnd"/>
      <w:r w:rsidR="0038473D" w:rsidRPr="0038473D">
        <w:rPr>
          <w:rFonts w:ascii="Garamond" w:hAnsi="Garamond"/>
        </w:rPr>
        <w:t xml:space="preserve"> and</w:t>
      </w:r>
      <w:r w:rsidRPr="002A7BAB">
        <w:rPr>
          <w:rFonts w:ascii="Garamond" w:hAnsi="Garamond"/>
        </w:rPr>
        <w:t xml:space="preserve"> is not a step-by-step instruction manual. A single preferred assessment approach can not apply to all development scenarios due to the inherent diversity of sites and risk assessment requirements for individual projects. </w:t>
      </w:r>
      <w:r w:rsidR="0038473D">
        <w:rPr>
          <w:rFonts w:ascii="Garamond" w:hAnsi="Garamond"/>
        </w:rPr>
        <w:t>T</w:t>
      </w:r>
      <w:r w:rsidRPr="002A7BAB">
        <w:rPr>
          <w:rFonts w:ascii="Garamond" w:hAnsi="Garamond"/>
        </w:rPr>
        <w:t xml:space="preserve">he scope of this note is to consider </w:t>
      </w:r>
      <w:r w:rsidRPr="002A7BAB">
        <w:rPr>
          <w:rFonts w:ascii="Garamond" w:hAnsi="Garamond"/>
        </w:rPr>
        <w:lastRenderedPageBreak/>
        <w:t>groundwater assets; it does not extend to considering surface water or the consideration of ecosystem consequences for groundwater assets and GDEs.</w:t>
      </w:r>
    </w:p>
    <w:p w14:paraId="7F0069A8" w14:textId="37D779C8" w:rsidR="00FB3BB6" w:rsidRPr="0038473D" w:rsidRDefault="00FB3BB6" w:rsidP="0038473D">
      <w:pPr>
        <w:pStyle w:val="Heading2Numbered"/>
        <w:ind w:left="567" w:hanging="567"/>
      </w:pPr>
      <w:bookmarkStart w:id="105" w:name="_Toc66967172"/>
      <w:r w:rsidRPr="0038473D">
        <w:t>Structure of this Explanatory Note</w:t>
      </w:r>
      <w:bookmarkEnd w:id="105"/>
    </w:p>
    <w:p w14:paraId="7385491D" w14:textId="4D610820" w:rsidR="00FB3BB6" w:rsidRPr="0038473D" w:rsidRDefault="00FB3BB6" w:rsidP="007D2425">
      <w:pPr>
        <w:pStyle w:val="BodyText"/>
        <w:rPr>
          <w:lang w:val="en-AU"/>
        </w:rPr>
      </w:pPr>
      <w:r w:rsidRPr="0038473D">
        <w:rPr>
          <w:lang w:val="en-AU"/>
        </w:rPr>
        <w:t>The main body of this Explanatory Note consists of four further Sections accompanied by Appendices that present example scenarios. In the main body, Section Two considers relevant data sources for identifying and assessing faults together with basic definitions of structural geology and faults. In Section Three the conceptualisation of faults and identification of pathways is described along with an introduction to the Example Scenarios. Section Four considers the assessment of how the presence of faults may influence the hydrogeological regime and how this may be assessed using numerical simulations. The Example Scenarios presented in the appendices are hypothetical cases of proposed project and groundwater assets, informed by Australian experience. The examples include workflows for different levels of impact due to faults, from essentially no faults or impact, to more complex investigations.</w:t>
      </w:r>
    </w:p>
    <w:bookmarkEnd w:id="104"/>
    <w:p w14:paraId="7611928C" w14:textId="74915D7C" w:rsidR="00FC261A" w:rsidRPr="0038473D" w:rsidRDefault="00FC261A" w:rsidP="007D2425">
      <w:pPr>
        <w:pStyle w:val="BodyText"/>
        <w:rPr>
          <w:lang w:val="en-AU"/>
        </w:rPr>
      </w:pPr>
    </w:p>
    <w:p w14:paraId="6D98EA5D" w14:textId="42421C99" w:rsidR="00361B41" w:rsidRPr="0038473D" w:rsidRDefault="00FC261A">
      <w:pPr>
        <w:pStyle w:val="Heading1Numbered"/>
        <w:numPr>
          <w:ilvl w:val="0"/>
          <w:numId w:val="5"/>
        </w:numPr>
        <w:ind w:left="567" w:hanging="567"/>
      </w:pPr>
      <w:r w:rsidRPr="0038473D">
        <w:br w:type="page"/>
      </w:r>
      <w:bookmarkStart w:id="106" w:name="_Toc18939317"/>
      <w:bookmarkStart w:id="107" w:name="_Toc19180641"/>
      <w:bookmarkStart w:id="108" w:name="_Toc42765089"/>
      <w:bookmarkStart w:id="109" w:name="_Toc66967173"/>
      <w:r w:rsidR="001D0BD3" w:rsidRPr="0038473D">
        <w:lastRenderedPageBreak/>
        <w:t>Fault</w:t>
      </w:r>
      <w:r w:rsidR="00793655" w:rsidRPr="0038473D">
        <w:t>s:</w:t>
      </w:r>
      <w:r w:rsidR="001D0BD3" w:rsidRPr="0038473D">
        <w:t xml:space="preserve"> </w:t>
      </w:r>
      <w:r w:rsidRPr="0038473D">
        <w:t>data</w:t>
      </w:r>
      <w:bookmarkEnd w:id="106"/>
      <w:bookmarkEnd w:id="107"/>
      <w:bookmarkEnd w:id="108"/>
      <w:r w:rsidR="00793655" w:rsidRPr="0038473D">
        <w:t xml:space="preserve"> sources</w:t>
      </w:r>
      <w:r w:rsidR="007E2D6E" w:rsidRPr="0038473D">
        <w:t xml:space="preserve">, </w:t>
      </w:r>
      <w:r w:rsidR="00793655" w:rsidRPr="0038473D">
        <w:t>definitions,</w:t>
      </w:r>
      <w:r w:rsidR="007E2D6E" w:rsidRPr="0038473D">
        <w:t xml:space="preserve"> and geometry</w:t>
      </w:r>
      <w:bookmarkEnd w:id="109"/>
    </w:p>
    <w:p w14:paraId="7D4FE674" w14:textId="416B891A" w:rsidR="00361B41" w:rsidRPr="002A7BAB" w:rsidRDefault="00361B41" w:rsidP="00C167F0">
      <w:pPr>
        <w:pStyle w:val="BodyText"/>
        <w:rPr>
          <w:lang w:val="en-AU"/>
        </w:rPr>
      </w:pPr>
      <w:r w:rsidRPr="0038473D">
        <w:rPr>
          <w:lang w:val="en-AU"/>
        </w:rPr>
        <w:t>To assess the risks posed by LCM or CSG developments to groundwater assets, and the role that faults play, information about faults is required. This section considers data sources for that information. The definition</w:t>
      </w:r>
      <w:r w:rsidR="008D73ED" w:rsidRPr="0038473D">
        <w:rPr>
          <w:lang w:val="en-AU"/>
        </w:rPr>
        <w:t>s</w:t>
      </w:r>
      <w:r w:rsidRPr="0038473D">
        <w:rPr>
          <w:lang w:val="en-AU"/>
        </w:rPr>
        <w:t xml:space="preserve"> of faults and their attributes are then considered together with methods to display the geometry of faults and the degree of juxtaposition of geological units that faults cause.</w:t>
      </w:r>
    </w:p>
    <w:p w14:paraId="05C2C5D8" w14:textId="157D1421" w:rsidR="00C53638" w:rsidRPr="006F4023" w:rsidRDefault="00C53638" w:rsidP="00C53638">
      <w:pPr>
        <w:pStyle w:val="Heading2Numbered"/>
      </w:pPr>
      <w:bookmarkStart w:id="110" w:name="_Toc66967174"/>
      <w:r w:rsidRPr="006F4023">
        <w:t>Data Sources</w:t>
      </w:r>
      <w:bookmarkEnd w:id="110"/>
    </w:p>
    <w:p w14:paraId="26232123" w14:textId="77777777" w:rsidR="00B91D68" w:rsidRPr="0038473D" w:rsidRDefault="00B91D68" w:rsidP="00B91D68">
      <w:pPr>
        <w:pStyle w:val="BodyText"/>
        <w:rPr>
          <w:lang w:val="en-AU"/>
        </w:rPr>
      </w:pPr>
      <w:r w:rsidRPr="0038473D">
        <w:rPr>
          <w:lang w:val="en-AU"/>
        </w:rPr>
        <w:t xml:space="preserve">A variety of pre-existing, public domain data, and private or confidential data will be available to project proponents for any proposed LCM or CSG development. Data types, coverage and availability will vary between greenfield and brownfield development areas, and it is important to address the potential for cumulative impacts.  </w:t>
      </w:r>
    </w:p>
    <w:p w14:paraId="2CBB0260" w14:textId="4AD581C0" w:rsidR="00B91D68" w:rsidRPr="00C24FB7" w:rsidRDefault="00B91D68" w:rsidP="00B91D68">
      <w:pPr>
        <w:pStyle w:val="BodyText"/>
        <w:rPr>
          <w:lang w:val="en-AU"/>
        </w:rPr>
      </w:pPr>
      <w:r w:rsidRPr="0038473D">
        <w:rPr>
          <w:lang w:val="en-AU"/>
        </w:rPr>
        <w:t xml:space="preserve">In many cases proposed LCM or CSG developments will be placed </w:t>
      </w:r>
      <w:proofErr w:type="gramStart"/>
      <w:r w:rsidRPr="0038473D">
        <w:rPr>
          <w:lang w:val="en-AU"/>
        </w:rPr>
        <w:t>in close proximity to</w:t>
      </w:r>
      <w:proofErr w:type="gramEnd"/>
      <w:r w:rsidRPr="0038473D">
        <w:rPr>
          <w:lang w:val="en-AU"/>
        </w:rPr>
        <w:t xml:space="preserve"> existing, similar projects and there will be substantial </w:t>
      </w:r>
      <w:r w:rsidRPr="00C24FB7">
        <w:rPr>
          <w:lang w:val="en-AU"/>
        </w:rPr>
        <w:t xml:space="preserve">structural and geotechnical assessment work available. This work can be a valuable contribution to the characterisation and assessment of the faulting relative to the stratigraphy and distribution of aquifers and aquitards and their </w:t>
      </w:r>
      <w:proofErr w:type="spellStart"/>
      <w:r w:rsidRPr="00C24FB7">
        <w:rPr>
          <w:lang w:val="en-AU"/>
        </w:rPr>
        <w:t>geomechanical</w:t>
      </w:r>
      <w:proofErr w:type="spellEnd"/>
      <w:r w:rsidRPr="00C24FB7">
        <w:rPr>
          <w:lang w:val="en-AU"/>
        </w:rPr>
        <w:t xml:space="preserve"> and hydrological properties in the area. </w:t>
      </w:r>
    </w:p>
    <w:p w14:paraId="1D56DB5E" w14:textId="77777777" w:rsidR="00B91D68" w:rsidRPr="00C24FB7" w:rsidRDefault="00B91D68" w:rsidP="00B91D68">
      <w:pPr>
        <w:pStyle w:val="BodyText"/>
        <w:rPr>
          <w:lang w:val="en-AU"/>
        </w:rPr>
      </w:pPr>
      <w:r w:rsidRPr="00C24FB7">
        <w:rPr>
          <w:lang w:val="en-AU"/>
        </w:rPr>
        <w:t xml:space="preserve">Proponents should outline and summarise the relevant data types and how they were used; assess their applicability or shortcomings; and describe a plan for the collection of new data if or as exploration for the development proceeds. Planning for data acquisition and/or presentation the area of investigation should extend beyond the target coals (coal seams or excavations) and include the regions of the main environmental assets (aquifers, GDEs), as well as any intervening region between the assets and aquifers that may contain important faults, coal seams or excavations. </w:t>
      </w:r>
    </w:p>
    <w:p w14:paraId="282A6B5C" w14:textId="2EDE75F1" w:rsidR="00B91D68" w:rsidRPr="006F4023" w:rsidRDefault="00B91D68" w:rsidP="00B91D68">
      <w:pPr>
        <w:pStyle w:val="BodyText"/>
        <w:rPr>
          <w:lang w:val="en-AU"/>
        </w:rPr>
      </w:pPr>
      <w:r w:rsidRPr="00C24FB7">
        <w:rPr>
          <w:lang w:val="en-AU"/>
        </w:rPr>
        <w:t xml:space="preserve">This section discusses the </w:t>
      </w:r>
      <w:r w:rsidRPr="00C24FB7">
        <w:rPr>
          <w:u w:val="single"/>
          <w:lang w:val="en-AU"/>
        </w:rPr>
        <w:t>main</w:t>
      </w:r>
      <w:r w:rsidRPr="00C24FB7">
        <w:rPr>
          <w:lang w:val="en-AU"/>
        </w:rPr>
        <w:t xml:space="preserve"> data types for characterising a fault or fault network and assessing its potential influence on the groundwater system response. Because of the diversity of projects, it is not possible to comment on all the types of data that may be useful. As shown in </w:t>
      </w:r>
      <w:r w:rsidRPr="006F4023">
        <w:rPr>
          <w:lang w:val="en-AU"/>
        </w:rPr>
        <w:fldChar w:fldCharType="begin"/>
      </w:r>
      <w:r w:rsidRPr="00C24FB7">
        <w:rPr>
          <w:lang w:val="en-AU"/>
        </w:rPr>
        <w:instrText xml:space="preserve"> REF _Ref57021776 \h </w:instrText>
      </w:r>
      <w:r w:rsidRPr="006F4023">
        <w:rPr>
          <w:lang w:val="en-AU"/>
        </w:rPr>
      </w:r>
      <w:r w:rsidRPr="006F4023">
        <w:rPr>
          <w:lang w:val="en-AU"/>
        </w:rPr>
        <w:fldChar w:fldCharType="separate"/>
      </w:r>
      <w:r w:rsidR="00047351" w:rsidRPr="006F4023">
        <w:t xml:space="preserve">Figure </w:t>
      </w:r>
      <w:r w:rsidR="00047351">
        <w:rPr>
          <w:noProof/>
        </w:rPr>
        <w:t>3</w:t>
      </w:r>
      <w:r w:rsidRPr="006F4023">
        <w:rPr>
          <w:lang w:val="en-AU"/>
        </w:rPr>
        <w:fldChar w:fldCharType="end"/>
      </w:r>
      <w:r w:rsidRPr="006F4023">
        <w:rPr>
          <w:lang w:val="en-AU"/>
        </w:rPr>
        <w:t xml:space="preserve">, different data types provide fault information at different scales. There is significant variability in fault properties at the small scale, and approaches that aim to measure large-scale properties that integrate the small-scale </w:t>
      </w:r>
      <w:r w:rsidRPr="0038473D">
        <w:rPr>
          <w:lang w:val="en-AU"/>
        </w:rPr>
        <w:t>variability are more likely to be successful than those that aim</w:t>
      </w:r>
      <w:r w:rsidRPr="00C24FB7">
        <w:rPr>
          <w:lang w:val="en-AU"/>
        </w:rPr>
        <w:t xml:space="preserve"> to characterise the small-scale variation (Cook, 2003).  In keeping with this observation, field approaches that integrate aquifer properties at a similar scale and in a similar manner to the risks being considered are recommended for use (Cook 2003; Doherty 2015), and useful examples of these types of analyses are provided </w:t>
      </w:r>
      <w:r w:rsidR="007739FF" w:rsidRPr="00C24FB7">
        <w:rPr>
          <w:lang w:val="en-AU"/>
        </w:rPr>
        <w:t xml:space="preserve">in the literature </w:t>
      </w:r>
      <w:r w:rsidRPr="00C24FB7">
        <w:rPr>
          <w:lang w:val="en-AU"/>
        </w:rPr>
        <w:t xml:space="preserve">by </w:t>
      </w:r>
      <w:proofErr w:type="spellStart"/>
      <w:r w:rsidRPr="00C24FB7">
        <w:rPr>
          <w:lang w:val="en-AU"/>
        </w:rPr>
        <w:t>Mallants</w:t>
      </w:r>
      <w:proofErr w:type="spellEnd"/>
      <w:r w:rsidRPr="00C24FB7">
        <w:rPr>
          <w:lang w:val="en-AU"/>
        </w:rPr>
        <w:t xml:space="preserve"> et al. (2018) and </w:t>
      </w:r>
      <w:proofErr w:type="spellStart"/>
      <w:r w:rsidRPr="00C24FB7">
        <w:rPr>
          <w:lang w:val="en-AU"/>
        </w:rPr>
        <w:t>Underschultz</w:t>
      </w:r>
      <w:proofErr w:type="spellEnd"/>
      <w:r w:rsidRPr="00C24FB7">
        <w:rPr>
          <w:lang w:val="en-AU"/>
        </w:rPr>
        <w:t xml:space="preserve"> et al. (2018). </w:t>
      </w:r>
    </w:p>
    <w:p w14:paraId="3C7A6886" w14:textId="77777777" w:rsidR="00C53638" w:rsidRPr="0038473D" w:rsidRDefault="00C53638" w:rsidP="00C53638">
      <w:pPr>
        <w:pStyle w:val="Heading3Numbered"/>
      </w:pPr>
      <w:bookmarkStart w:id="111" w:name="_Toc66967175"/>
      <w:r w:rsidRPr="0038473D">
        <w:t>Geologic stratigraphy and mappable rock units</w:t>
      </w:r>
      <w:bookmarkEnd w:id="111"/>
    </w:p>
    <w:p w14:paraId="094BE154" w14:textId="4AA9BCC6" w:rsidR="00B91D68" w:rsidRPr="00C24FB7" w:rsidRDefault="00B91D68" w:rsidP="00E07B7A">
      <w:pPr>
        <w:pStyle w:val="BodyText"/>
        <w:rPr>
          <w:lang w:val="en-AU"/>
        </w:rPr>
      </w:pPr>
      <w:r w:rsidRPr="00C24FB7">
        <w:rPr>
          <w:lang w:val="en-AU"/>
        </w:rPr>
        <w:t xml:space="preserve">Understanding of the host lithology units that are present, how they are sequenced or layered stratigraphically, and if they are laterally continuous is of primary importance in the development of a geological model of faults, </w:t>
      </w:r>
      <w:proofErr w:type="gramStart"/>
      <w:r w:rsidRPr="00C24FB7">
        <w:rPr>
          <w:lang w:val="en-AU"/>
        </w:rPr>
        <w:t>aquitards</w:t>
      </w:r>
      <w:proofErr w:type="gramEnd"/>
      <w:r w:rsidRPr="00C24FB7">
        <w:rPr>
          <w:lang w:val="en-AU"/>
        </w:rPr>
        <w:t xml:space="preserve"> and aquifers. The mapping of key stratigraphic horizons in 3D and their displacement is used to identify faults, and the distribution and character of aquitards and aquifers is best determined directly from geological data. </w:t>
      </w:r>
    </w:p>
    <w:p w14:paraId="3F089F5E" w14:textId="73CD907B" w:rsidR="00C53638" w:rsidRPr="00C24FB7" w:rsidRDefault="00C53638" w:rsidP="00C53638">
      <w:pPr>
        <w:pStyle w:val="BodyText"/>
        <w:rPr>
          <w:lang w:val="en-AU"/>
        </w:rPr>
      </w:pPr>
    </w:p>
    <w:p w14:paraId="48D6A5F3" w14:textId="03F77767" w:rsidR="00C53638" w:rsidRPr="00C24FB7" w:rsidRDefault="00C53638" w:rsidP="00C53638">
      <w:pPr>
        <w:pStyle w:val="BodyText"/>
        <w:rPr>
          <w:lang w:val="en-AU"/>
        </w:rPr>
      </w:pPr>
      <w:r w:rsidRPr="00C24FB7">
        <w:rPr>
          <w:lang w:val="en-AU"/>
        </w:rPr>
        <w:t xml:space="preserve">Superposition and sequence stratigraphy are key tenets of geology, which provide the basis for mapping of time correlative horizons across a project area. Correlations of rock layers deposited during the same time periods are typically based on basin-wide time horizons, and in some cases, these can be constrained in absolute time using high resolution biostratigraphy and radiometric dating. Volcanic ejecta (tuff) can be assessed with radiometric dating and assist correlation as they tend to be deposited broadly, and during a short interval of time. These time specific stratigraphic markers can be used with historical sea-level curves to correlate sequence boundaries. With these tools, it is possible to define sediment unit thicknesses and time of deposition with accuracy. More importantly, stratigraphy allows correlation between sedimentary facies defined by the texture, </w:t>
      </w:r>
      <w:proofErr w:type="gramStart"/>
      <w:r w:rsidRPr="00C24FB7">
        <w:rPr>
          <w:lang w:val="en-AU"/>
        </w:rPr>
        <w:t>composition</w:t>
      </w:r>
      <w:proofErr w:type="gramEnd"/>
      <w:r w:rsidRPr="00C24FB7">
        <w:rPr>
          <w:lang w:val="en-AU"/>
        </w:rPr>
        <w:t xml:space="preserve"> and bedding characteristics (for example coarse-grained sandstones and fine-grained shales or siltstones), that influence the </w:t>
      </w:r>
      <w:r w:rsidRPr="00C24FB7">
        <w:rPr>
          <w:lang w:val="en-AU"/>
        </w:rPr>
        <w:lastRenderedPageBreak/>
        <w:t xml:space="preserve">interpretation of units as aquifers or aquitards, and their lateral continuity. </w:t>
      </w:r>
      <w:r w:rsidR="007505E0" w:rsidRPr="00C24FB7">
        <w:rPr>
          <w:lang w:val="en-AU"/>
        </w:rPr>
        <w:t>A</w:t>
      </w:r>
      <w:r w:rsidRPr="00C24FB7">
        <w:rPr>
          <w:lang w:val="en-AU"/>
        </w:rPr>
        <w:t xml:space="preserve"> time-based sequence stratigraphic interpretation </w:t>
      </w:r>
      <w:r w:rsidR="00CF26DA" w:rsidRPr="00C24FB7">
        <w:rPr>
          <w:lang w:val="en-AU"/>
        </w:rPr>
        <w:t>places importance</w:t>
      </w:r>
      <w:r w:rsidRPr="00C24FB7">
        <w:rPr>
          <w:lang w:val="en-AU"/>
        </w:rPr>
        <w:t xml:space="preserve"> on sequence boundaries</w:t>
      </w:r>
      <w:r w:rsidR="009D6513" w:rsidRPr="00C24FB7">
        <w:rPr>
          <w:lang w:val="en-AU"/>
        </w:rPr>
        <w:t xml:space="preserve"> as stratigraphic markers</w:t>
      </w:r>
      <w:r w:rsidRPr="00C24FB7">
        <w:rPr>
          <w:lang w:val="en-AU"/>
        </w:rPr>
        <w:t>, and in particular maximum flooding surfaces that comprise the regionally extensive, fine grained units that discriminate the aquitards. Depositional discontinuities, or strata pinch-outs that provide even a relatively small window in an aquitard can provide a flow pathway, in addition to the possibility of fault-related flow pathways.</w:t>
      </w:r>
      <w:r w:rsidR="00CF26DA" w:rsidRPr="00C24FB7">
        <w:rPr>
          <w:lang w:val="en-AU"/>
        </w:rPr>
        <w:t xml:space="preserve"> Similar information on overburden lithological heterogeneity can also inform </w:t>
      </w:r>
      <w:proofErr w:type="spellStart"/>
      <w:r w:rsidR="00CF26DA" w:rsidRPr="00C24FB7">
        <w:rPr>
          <w:lang w:val="en-AU"/>
        </w:rPr>
        <w:t>geomechnical</w:t>
      </w:r>
      <w:proofErr w:type="spellEnd"/>
      <w:r w:rsidR="00CF26DA" w:rsidRPr="00C24FB7">
        <w:rPr>
          <w:lang w:val="en-AU"/>
        </w:rPr>
        <w:t xml:space="preserve"> and subsidence modelling. </w:t>
      </w:r>
    </w:p>
    <w:p w14:paraId="5C6C2AB3" w14:textId="77777777" w:rsidR="00520626" w:rsidRPr="006F4023" w:rsidRDefault="00520626" w:rsidP="00520626">
      <w:pPr>
        <w:keepNext/>
      </w:pPr>
      <w:r w:rsidRPr="006F4023">
        <w:rPr>
          <w:noProof/>
          <w:lang w:eastAsia="en-AU"/>
        </w:rPr>
        <mc:AlternateContent>
          <mc:Choice Requires="wpg">
            <w:drawing>
              <wp:inline distT="0" distB="0" distL="0" distR="0" wp14:anchorId="2127E8A1" wp14:editId="71981E3D">
                <wp:extent cx="3334315" cy="3477591"/>
                <wp:effectExtent l="0" t="0" r="19050" b="0"/>
                <wp:docPr id="20" name="Group 7"/>
                <wp:cNvGraphicFramePr/>
                <a:graphic xmlns:a="http://schemas.openxmlformats.org/drawingml/2006/main">
                  <a:graphicData uri="http://schemas.microsoft.com/office/word/2010/wordprocessingGroup">
                    <wpg:wgp>
                      <wpg:cNvGrpSpPr/>
                      <wpg:grpSpPr>
                        <a:xfrm>
                          <a:off x="0" y="0"/>
                          <a:ext cx="3334315" cy="3477591"/>
                          <a:chOff x="1" y="0"/>
                          <a:chExt cx="3334317" cy="3477591"/>
                        </a:xfrm>
                      </wpg:grpSpPr>
                      <wpg:grpSp>
                        <wpg:cNvPr id="21" name="Group 21"/>
                        <wpg:cNvGrpSpPr/>
                        <wpg:grpSpPr>
                          <a:xfrm>
                            <a:off x="1" y="0"/>
                            <a:ext cx="3334317" cy="3289637"/>
                            <a:chOff x="0" y="0"/>
                            <a:chExt cx="6383368" cy="6008427"/>
                          </a:xfrm>
                        </wpg:grpSpPr>
                        <wps:wsp>
                          <wps:cNvPr id="22" name="Rectangle 22"/>
                          <wps:cNvSpPr/>
                          <wps:spPr>
                            <a:xfrm>
                              <a:off x="4288118" y="733878"/>
                              <a:ext cx="618067" cy="4675612"/>
                            </a:xfrm>
                            <a:prstGeom prst="rect">
                              <a:avLst/>
                            </a:prstGeom>
                            <a:solidFill>
                              <a:sysClr val="window" lastClr="FFFFFF">
                                <a:lumMod val="85000"/>
                                <a:alpha val="63000"/>
                              </a:sysClr>
                            </a:solidFill>
                            <a:ln w="12700" cap="flat" cmpd="sng" algn="ctr">
                              <a:noFill/>
                              <a:prstDash val="solid"/>
                              <a:miter lim="800000"/>
                            </a:ln>
                            <a:effectLst/>
                          </wps:spPr>
                          <wps:bodyPr vert="vert270" rtlCol="0" anchor="ctr"/>
                        </wps:wsp>
                        <wps:wsp>
                          <wps:cNvPr id="23" name="Rectangle 23"/>
                          <wps:cNvSpPr/>
                          <wps:spPr>
                            <a:xfrm>
                              <a:off x="2837483" y="733878"/>
                              <a:ext cx="618067" cy="4675612"/>
                            </a:xfrm>
                            <a:prstGeom prst="rect">
                              <a:avLst/>
                            </a:prstGeom>
                            <a:solidFill>
                              <a:sysClr val="window" lastClr="FFFFFF">
                                <a:lumMod val="85000"/>
                                <a:alpha val="63000"/>
                              </a:sysClr>
                            </a:solidFill>
                            <a:ln w="12700" cap="flat" cmpd="sng" algn="ctr">
                              <a:noFill/>
                              <a:prstDash val="solid"/>
                              <a:miter lim="800000"/>
                            </a:ln>
                            <a:effectLst/>
                          </wps:spPr>
                          <wps:bodyPr vert="vert270" rtlCol="0" anchor="ctr"/>
                        </wps:wsp>
                        <wps:wsp>
                          <wps:cNvPr id="24" name="Rectangle 24"/>
                          <wps:cNvSpPr/>
                          <wps:spPr>
                            <a:xfrm>
                              <a:off x="1593281" y="733878"/>
                              <a:ext cx="775739" cy="4675612"/>
                            </a:xfrm>
                            <a:prstGeom prst="rect">
                              <a:avLst/>
                            </a:prstGeom>
                            <a:solidFill>
                              <a:sysClr val="window" lastClr="FFFFFF">
                                <a:lumMod val="85000"/>
                                <a:alpha val="63000"/>
                              </a:sysClr>
                            </a:solidFill>
                            <a:ln w="12700" cap="flat" cmpd="sng" algn="ctr">
                              <a:noFill/>
                              <a:prstDash val="solid"/>
                              <a:miter lim="800000"/>
                            </a:ln>
                            <a:effectLst/>
                          </wps:spPr>
                          <wps:bodyPr vert="vert270" rtlCol="0" anchor="t"/>
                        </wps:wsp>
                        <wps:wsp>
                          <wps:cNvPr id="25" name="Rectangle 25"/>
                          <wps:cNvSpPr/>
                          <wps:spPr>
                            <a:xfrm>
                              <a:off x="0" y="0"/>
                              <a:ext cx="6383368" cy="5986803"/>
                            </a:xfrm>
                            <a:prstGeom prst="rect">
                              <a:avLst/>
                            </a:prstGeom>
                            <a:noFill/>
                            <a:ln w="12700" cap="flat" cmpd="sng" algn="ctr">
                              <a:solidFill>
                                <a:srgbClr val="4472C4">
                                  <a:shade val="50000"/>
                                </a:srgbClr>
                              </a:solidFill>
                              <a:prstDash val="solid"/>
                              <a:miter lim="800000"/>
                            </a:ln>
                            <a:effectLst/>
                          </wps:spPr>
                          <wps:bodyPr rtlCol="0" anchor="ctr"/>
                        </wps:wsp>
                        <wps:wsp>
                          <wps:cNvPr id="26" name="TextBox 20"/>
                          <wps:cNvSpPr txBox="1"/>
                          <wps:spPr>
                            <a:xfrm>
                              <a:off x="443995" y="365320"/>
                              <a:ext cx="803560" cy="673849"/>
                            </a:xfrm>
                            <a:prstGeom prst="rect">
                              <a:avLst/>
                            </a:prstGeom>
                            <a:noFill/>
                          </wps:spPr>
                          <wps:txbx>
                            <w:txbxContent>
                              <w:p w14:paraId="5D26C69C" w14:textId="77777777" w:rsidR="005863E1" w:rsidRDefault="005863E1" w:rsidP="00520626">
                                <w:r>
                                  <w:rPr>
                                    <w:rFonts w:hAnsi="Calibri"/>
                                    <w:color w:val="000000" w:themeColor="text1"/>
                                    <w:kern w:val="24"/>
                                    <w:sz w:val="21"/>
                                    <w:szCs w:val="21"/>
                                    <w:lang w:val="en-US"/>
                                  </w:rPr>
                                  <w:t>0.01</w:t>
                                </w:r>
                              </w:p>
                            </w:txbxContent>
                          </wps:txbx>
                          <wps:bodyPr wrap="none" rtlCol="0">
                            <a:spAutoFit/>
                          </wps:bodyPr>
                        </wps:wsp>
                        <wps:wsp>
                          <wps:cNvPr id="30" name="TextBox 21"/>
                          <wps:cNvSpPr txBox="1"/>
                          <wps:spPr>
                            <a:xfrm>
                              <a:off x="1197213" y="355386"/>
                              <a:ext cx="673483" cy="673849"/>
                            </a:xfrm>
                            <a:prstGeom prst="rect">
                              <a:avLst/>
                            </a:prstGeom>
                            <a:noFill/>
                          </wps:spPr>
                          <wps:txbx>
                            <w:txbxContent>
                              <w:p w14:paraId="57B2A22C" w14:textId="77777777" w:rsidR="005863E1" w:rsidRDefault="005863E1" w:rsidP="00520626">
                                <w:r>
                                  <w:rPr>
                                    <w:rFonts w:hAnsi="Calibri"/>
                                    <w:color w:val="000000" w:themeColor="text1"/>
                                    <w:kern w:val="24"/>
                                    <w:sz w:val="21"/>
                                    <w:szCs w:val="21"/>
                                    <w:lang w:val="en-US"/>
                                  </w:rPr>
                                  <w:t>0.1</w:t>
                                </w:r>
                              </w:p>
                            </w:txbxContent>
                          </wps:txbx>
                          <wps:bodyPr wrap="none" rtlCol="0">
                            <a:spAutoFit/>
                          </wps:bodyPr>
                        </wps:wsp>
                        <wps:wsp>
                          <wps:cNvPr id="2047755423" name="TextBox 22"/>
                          <wps:cNvSpPr txBox="1"/>
                          <wps:spPr>
                            <a:xfrm>
                              <a:off x="1969079" y="374540"/>
                              <a:ext cx="480191" cy="673849"/>
                            </a:xfrm>
                            <a:prstGeom prst="rect">
                              <a:avLst/>
                            </a:prstGeom>
                            <a:noFill/>
                          </wps:spPr>
                          <wps:txbx>
                            <w:txbxContent>
                              <w:p w14:paraId="6FB8257E" w14:textId="77777777" w:rsidR="005863E1" w:rsidRDefault="005863E1" w:rsidP="00520626">
                                <w:r>
                                  <w:rPr>
                                    <w:rFonts w:hAnsi="Calibri"/>
                                    <w:color w:val="000000" w:themeColor="text1"/>
                                    <w:kern w:val="24"/>
                                    <w:sz w:val="21"/>
                                    <w:szCs w:val="21"/>
                                    <w:lang w:val="en-US"/>
                                  </w:rPr>
                                  <w:t>1</w:t>
                                </w:r>
                              </w:p>
                            </w:txbxContent>
                          </wps:txbx>
                          <wps:bodyPr wrap="none" rtlCol="0">
                            <a:spAutoFit/>
                          </wps:bodyPr>
                        </wps:wsp>
                        <wps:wsp>
                          <wps:cNvPr id="2047755431" name="TextBox 23"/>
                          <wps:cNvSpPr txBox="1"/>
                          <wps:spPr>
                            <a:xfrm>
                              <a:off x="2608091" y="364964"/>
                              <a:ext cx="609052" cy="673849"/>
                            </a:xfrm>
                            <a:prstGeom prst="rect">
                              <a:avLst/>
                            </a:prstGeom>
                            <a:noFill/>
                          </wps:spPr>
                          <wps:txbx>
                            <w:txbxContent>
                              <w:p w14:paraId="76161DF2" w14:textId="77777777" w:rsidR="005863E1" w:rsidRDefault="005863E1" w:rsidP="00520626">
                                <w:r>
                                  <w:rPr>
                                    <w:rFonts w:hAnsi="Calibri"/>
                                    <w:color w:val="000000" w:themeColor="text1"/>
                                    <w:kern w:val="24"/>
                                    <w:sz w:val="21"/>
                                    <w:szCs w:val="21"/>
                                    <w:lang w:val="en-US"/>
                                  </w:rPr>
                                  <w:t>10</w:t>
                                </w:r>
                              </w:p>
                            </w:txbxContent>
                          </wps:txbx>
                          <wps:bodyPr wrap="none" rtlCol="0">
                            <a:spAutoFit/>
                          </wps:bodyPr>
                        </wps:wsp>
                        <wps:wsp>
                          <wps:cNvPr id="2047755435" name="TextBox 24"/>
                          <wps:cNvSpPr txBox="1"/>
                          <wps:spPr>
                            <a:xfrm>
                              <a:off x="3250081" y="364945"/>
                              <a:ext cx="739130" cy="673849"/>
                            </a:xfrm>
                            <a:prstGeom prst="rect">
                              <a:avLst/>
                            </a:prstGeom>
                            <a:noFill/>
                          </wps:spPr>
                          <wps:txbx>
                            <w:txbxContent>
                              <w:p w14:paraId="77AA02AD" w14:textId="77777777" w:rsidR="005863E1" w:rsidRDefault="005863E1" w:rsidP="00520626">
                                <w:r>
                                  <w:rPr>
                                    <w:rFonts w:hAnsi="Calibri"/>
                                    <w:color w:val="000000" w:themeColor="text1"/>
                                    <w:kern w:val="24"/>
                                    <w:sz w:val="21"/>
                                    <w:szCs w:val="21"/>
                                    <w:lang w:val="en-US"/>
                                  </w:rPr>
                                  <w:t>100</w:t>
                                </w:r>
                              </w:p>
                            </w:txbxContent>
                          </wps:txbx>
                          <wps:bodyPr wrap="none" rtlCol="0">
                            <a:spAutoFit/>
                          </wps:bodyPr>
                        </wps:wsp>
                        <wps:wsp>
                          <wps:cNvPr id="2047755436" name="TextBox 25"/>
                          <wps:cNvSpPr txBox="1"/>
                          <wps:spPr>
                            <a:xfrm>
                              <a:off x="3890209" y="364945"/>
                              <a:ext cx="867991" cy="673849"/>
                            </a:xfrm>
                            <a:prstGeom prst="rect">
                              <a:avLst/>
                            </a:prstGeom>
                            <a:noFill/>
                          </wps:spPr>
                          <wps:txbx>
                            <w:txbxContent>
                              <w:p w14:paraId="35D209FC" w14:textId="77777777" w:rsidR="005863E1" w:rsidRDefault="005863E1" w:rsidP="00520626">
                                <w:r>
                                  <w:rPr>
                                    <w:rFonts w:hAnsi="Calibri"/>
                                    <w:color w:val="000000" w:themeColor="text1"/>
                                    <w:kern w:val="24"/>
                                    <w:sz w:val="21"/>
                                    <w:szCs w:val="21"/>
                                    <w:lang w:val="en-US"/>
                                  </w:rPr>
                                  <w:t>1000</w:t>
                                </w:r>
                              </w:p>
                            </w:txbxContent>
                          </wps:txbx>
                          <wps:bodyPr wrap="none" rtlCol="0">
                            <a:spAutoFit/>
                          </wps:bodyPr>
                        </wps:wsp>
                        <wps:wsp>
                          <wps:cNvPr id="2047755437" name="TextBox 26"/>
                          <wps:cNvSpPr txBox="1"/>
                          <wps:spPr>
                            <a:xfrm>
                              <a:off x="4537156" y="364945"/>
                              <a:ext cx="998068" cy="673849"/>
                            </a:xfrm>
                            <a:prstGeom prst="rect">
                              <a:avLst/>
                            </a:prstGeom>
                            <a:noFill/>
                          </wps:spPr>
                          <wps:txbx>
                            <w:txbxContent>
                              <w:p w14:paraId="07D0F35C" w14:textId="77777777" w:rsidR="005863E1" w:rsidRDefault="005863E1" w:rsidP="00520626">
                                <w:r>
                                  <w:rPr>
                                    <w:rFonts w:hAnsi="Calibri"/>
                                    <w:color w:val="000000" w:themeColor="text1"/>
                                    <w:kern w:val="24"/>
                                    <w:sz w:val="21"/>
                                    <w:szCs w:val="21"/>
                                    <w:lang w:val="en-US"/>
                                  </w:rPr>
                                  <w:t>10000</w:t>
                                </w:r>
                              </w:p>
                            </w:txbxContent>
                          </wps:txbx>
                          <wps:bodyPr wrap="none" rtlCol="0">
                            <a:spAutoFit/>
                          </wps:bodyPr>
                        </wps:wsp>
                        <wps:wsp>
                          <wps:cNvPr id="2047755438" name="Rectangle 2047755438"/>
                          <wps:cNvSpPr/>
                          <wps:spPr>
                            <a:xfrm>
                              <a:off x="1394113" y="1390126"/>
                              <a:ext cx="2117840" cy="45719"/>
                            </a:xfrm>
                            <a:prstGeom prst="rect">
                              <a:avLst/>
                            </a:prstGeom>
                            <a:solidFill>
                              <a:sysClr val="windowText" lastClr="000000"/>
                            </a:solidFill>
                            <a:ln w="12700" cap="flat" cmpd="sng" algn="ctr">
                              <a:noFill/>
                              <a:prstDash val="solid"/>
                              <a:miter lim="800000"/>
                            </a:ln>
                            <a:effectLst/>
                          </wps:spPr>
                          <wps:bodyPr rtlCol="0" anchor="ctr"/>
                        </wps:wsp>
                        <wps:wsp>
                          <wps:cNvPr id="2047755439" name="Rectangle 2047755439"/>
                          <wps:cNvSpPr/>
                          <wps:spPr>
                            <a:xfrm>
                              <a:off x="1392007" y="1739187"/>
                              <a:ext cx="775740" cy="45719"/>
                            </a:xfrm>
                            <a:prstGeom prst="rect">
                              <a:avLst/>
                            </a:prstGeom>
                            <a:solidFill>
                              <a:sysClr val="windowText" lastClr="000000"/>
                            </a:solidFill>
                            <a:ln w="12700" cap="flat" cmpd="sng" algn="ctr">
                              <a:noFill/>
                              <a:prstDash val="solid"/>
                              <a:miter lim="800000"/>
                            </a:ln>
                            <a:effectLst/>
                          </wps:spPr>
                          <wps:bodyPr rtlCol="0" anchor="ctr"/>
                        </wps:wsp>
                        <wps:wsp>
                          <wps:cNvPr id="2047755440" name="Rectangle 2047755440"/>
                          <wps:cNvSpPr/>
                          <wps:spPr>
                            <a:xfrm>
                              <a:off x="707060" y="2096953"/>
                              <a:ext cx="687053" cy="45719"/>
                            </a:xfrm>
                            <a:prstGeom prst="rect">
                              <a:avLst/>
                            </a:prstGeom>
                            <a:solidFill>
                              <a:sysClr val="windowText" lastClr="000000"/>
                            </a:solidFill>
                            <a:ln w="12700" cap="flat" cmpd="sng" algn="ctr">
                              <a:noFill/>
                              <a:prstDash val="solid"/>
                              <a:miter lim="800000"/>
                            </a:ln>
                            <a:effectLst/>
                          </wps:spPr>
                          <wps:bodyPr rtlCol="0" anchor="ctr"/>
                        </wps:wsp>
                        <wps:wsp>
                          <wps:cNvPr id="2047755441" name="Rectangle 2047755441"/>
                          <wps:cNvSpPr/>
                          <wps:spPr>
                            <a:xfrm>
                              <a:off x="699793" y="2458126"/>
                              <a:ext cx="694320" cy="45719"/>
                            </a:xfrm>
                            <a:prstGeom prst="rect">
                              <a:avLst/>
                            </a:prstGeom>
                            <a:solidFill>
                              <a:sysClr val="windowText" lastClr="000000"/>
                            </a:solidFill>
                            <a:ln w="12700" cap="flat" cmpd="sng" algn="ctr">
                              <a:noFill/>
                              <a:prstDash val="solid"/>
                              <a:miter lim="800000"/>
                            </a:ln>
                            <a:effectLst/>
                          </wps:spPr>
                          <wps:bodyPr rtlCol="0" anchor="ctr"/>
                        </wps:wsp>
                        <wps:wsp>
                          <wps:cNvPr id="2047755442" name="Rectangle 2047755442"/>
                          <wps:cNvSpPr/>
                          <wps:spPr>
                            <a:xfrm>
                              <a:off x="720063" y="3183920"/>
                              <a:ext cx="2591624" cy="45719"/>
                            </a:xfrm>
                            <a:prstGeom prst="rect">
                              <a:avLst/>
                            </a:prstGeom>
                            <a:solidFill>
                              <a:sysClr val="windowText" lastClr="000000">
                                <a:lumMod val="50000"/>
                                <a:lumOff val="50000"/>
                              </a:sysClr>
                            </a:solidFill>
                            <a:ln w="12700" cap="flat" cmpd="sng" algn="ctr">
                              <a:noFill/>
                              <a:prstDash val="solid"/>
                              <a:miter lim="800000"/>
                            </a:ln>
                            <a:effectLst/>
                          </wps:spPr>
                          <wps:bodyPr rtlCol="0" anchor="ctr"/>
                        </wps:wsp>
                        <wps:wsp>
                          <wps:cNvPr id="2047755443" name="Rectangle 2047755443"/>
                          <wps:cNvSpPr/>
                          <wps:spPr>
                            <a:xfrm>
                              <a:off x="2119659" y="3549401"/>
                              <a:ext cx="1412563" cy="48860"/>
                            </a:xfrm>
                            <a:prstGeom prst="rect">
                              <a:avLst/>
                            </a:prstGeom>
                            <a:solidFill>
                              <a:sysClr val="windowText" lastClr="000000">
                                <a:lumMod val="50000"/>
                                <a:lumOff val="50000"/>
                              </a:sysClr>
                            </a:solidFill>
                            <a:ln w="12700" cap="flat" cmpd="sng" algn="ctr">
                              <a:noFill/>
                              <a:prstDash val="solid"/>
                              <a:miter lim="800000"/>
                            </a:ln>
                            <a:effectLst/>
                          </wps:spPr>
                          <wps:bodyPr rtlCol="0" anchor="ctr"/>
                        </wps:wsp>
                        <wps:wsp>
                          <wps:cNvPr id="2047755444" name="Rectangle 2047755444"/>
                          <wps:cNvSpPr/>
                          <wps:spPr>
                            <a:xfrm>
                              <a:off x="2605405" y="3901601"/>
                              <a:ext cx="1855611" cy="45719"/>
                            </a:xfrm>
                            <a:prstGeom prst="rect">
                              <a:avLst/>
                            </a:prstGeom>
                            <a:solidFill>
                              <a:sysClr val="windowText" lastClr="000000">
                                <a:lumMod val="50000"/>
                                <a:lumOff val="50000"/>
                              </a:sysClr>
                            </a:solidFill>
                            <a:ln w="12700" cap="flat" cmpd="sng" algn="ctr">
                              <a:noFill/>
                              <a:prstDash val="solid"/>
                              <a:miter lim="800000"/>
                            </a:ln>
                            <a:effectLst/>
                          </wps:spPr>
                          <wps:bodyPr rtlCol="0" anchor="ctr"/>
                        </wps:wsp>
                        <wps:wsp>
                          <wps:cNvPr id="2047755445" name="Rectangle 2047755445"/>
                          <wps:cNvSpPr/>
                          <wps:spPr>
                            <a:xfrm>
                              <a:off x="3532222" y="4268339"/>
                              <a:ext cx="1394233" cy="45719"/>
                            </a:xfrm>
                            <a:prstGeom prst="rect">
                              <a:avLst/>
                            </a:prstGeom>
                            <a:solidFill>
                              <a:sysClr val="windowText" lastClr="000000">
                                <a:lumMod val="50000"/>
                                <a:lumOff val="50000"/>
                              </a:sysClr>
                            </a:solidFill>
                            <a:ln w="12700" cap="flat" cmpd="sng" algn="ctr">
                              <a:noFill/>
                              <a:prstDash val="solid"/>
                              <a:miter lim="800000"/>
                            </a:ln>
                            <a:effectLst/>
                          </wps:spPr>
                          <wps:bodyPr rtlCol="0" anchor="ctr"/>
                        </wps:wsp>
                        <wps:wsp>
                          <wps:cNvPr id="2047755446" name="Rectangle 2047755446"/>
                          <wps:cNvSpPr/>
                          <wps:spPr>
                            <a:xfrm>
                              <a:off x="2119659" y="4614260"/>
                              <a:ext cx="2351151" cy="48860"/>
                            </a:xfrm>
                            <a:prstGeom prst="rect">
                              <a:avLst/>
                            </a:prstGeom>
                            <a:solidFill>
                              <a:sysClr val="windowText" lastClr="000000">
                                <a:lumMod val="50000"/>
                                <a:lumOff val="50000"/>
                              </a:sysClr>
                            </a:solidFill>
                            <a:ln w="12700" cap="flat" cmpd="sng" algn="ctr">
                              <a:noFill/>
                              <a:prstDash val="solid"/>
                              <a:miter lim="800000"/>
                            </a:ln>
                            <a:effectLst/>
                          </wps:spPr>
                          <wps:bodyPr rtlCol="0" anchor="ctr"/>
                        </wps:wsp>
                        <wps:wsp>
                          <wps:cNvPr id="2047755447" name="Rectangle 2047755447"/>
                          <wps:cNvSpPr/>
                          <wps:spPr>
                            <a:xfrm>
                              <a:off x="1424056" y="1390125"/>
                              <a:ext cx="2117840" cy="45719"/>
                            </a:xfrm>
                            <a:prstGeom prst="rect">
                              <a:avLst/>
                            </a:prstGeom>
                            <a:solidFill>
                              <a:sysClr val="windowText" lastClr="000000"/>
                            </a:solidFill>
                            <a:ln w="12700" cap="flat" cmpd="sng" algn="ctr">
                              <a:noFill/>
                              <a:prstDash val="solid"/>
                              <a:miter lim="800000"/>
                            </a:ln>
                            <a:effectLst/>
                          </wps:spPr>
                          <wps:bodyPr rtlCol="0" anchor="ctr"/>
                        </wps:wsp>
                        <wps:wsp>
                          <wps:cNvPr id="2047755448" name="Rectangle 2047755448"/>
                          <wps:cNvSpPr/>
                          <wps:spPr>
                            <a:xfrm>
                              <a:off x="3035537" y="1009680"/>
                              <a:ext cx="1855611" cy="45719"/>
                            </a:xfrm>
                            <a:prstGeom prst="rect">
                              <a:avLst/>
                            </a:prstGeom>
                            <a:solidFill>
                              <a:sysClr val="windowText" lastClr="000000"/>
                            </a:solidFill>
                            <a:ln w="12700" cap="flat" cmpd="sng" algn="ctr">
                              <a:noFill/>
                              <a:prstDash val="solid"/>
                              <a:miter lim="800000"/>
                            </a:ln>
                            <a:effectLst/>
                          </wps:spPr>
                          <wps:bodyPr rtlCol="0" anchor="ctr"/>
                        </wps:wsp>
                        <wps:wsp>
                          <wps:cNvPr id="2047755449" name="Rectangle 2047755449"/>
                          <wps:cNvSpPr/>
                          <wps:spPr>
                            <a:xfrm>
                              <a:off x="2661295" y="2827883"/>
                              <a:ext cx="1244767" cy="45719"/>
                            </a:xfrm>
                            <a:prstGeom prst="rect">
                              <a:avLst/>
                            </a:prstGeom>
                            <a:solidFill>
                              <a:sysClr val="window" lastClr="FFFFFF">
                                <a:lumMod val="50000"/>
                              </a:sysClr>
                            </a:solidFill>
                            <a:ln w="12700" cap="flat" cmpd="sng" algn="ctr">
                              <a:noFill/>
                              <a:prstDash val="solid"/>
                              <a:miter lim="800000"/>
                            </a:ln>
                            <a:effectLst/>
                          </wps:spPr>
                          <wps:bodyPr rtlCol="0" anchor="ctr"/>
                        </wps:wsp>
                        <wps:wsp>
                          <wps:cNvPr id="2047755450" name="TextBox 45"/>
                          <wps:cNvSpPr txBox="1"/>
                          <wps:spPr>
                            <a:xfrm>
                              <a:off x="4842449" y="917822"/>
                              <a:ext cx="792619" cy="535832"/>
                            </a:xfrm>
                            <a:prstGeom prst="rect">
                              <a:avLst/>
                            </a:prstGeom>
                            <a:noFill/>
                          </wps:spPr>
                          <wps:txbx>
                            <w:txbxContent>
                              <w:p w14:paraId="13FA13C2" w14:textId="77777777" w:rsidR="005863E1" w:rsidRDefault="005863E1" w:rsidP="00520626">
                                <w:r>
                                  <w:rPr>
                                    <w:rFonts w:hAnsi="Calibri"/>
                                    <w:color w:val="000000" w:themeColor="text1"/>
                                    <w:kern w:val="24"/>
                                    <w:sz w:val="12"/>
                                    <w:szCs w:val="12"/>
                                    <w:lang w:val="en-US"/>
                                  </w:rPr>
                                  <w:t>Seismic</w:t>
                                </w:r>
                              </w:p>
                            </w:txbxContent>
                          </wps:txbx>
                          <wps:bodyPr wrap="none" rtlCol="0">
                            <a:spAutoFit/>
                          </wps:bodyPr>
                        </wps:wsp>
                        <wps:wsp>
                          <wps:cNvPr id="2047755451" name="TextBox 46"/>
                          <wps:cNvSpPr txBox="1"/>
                          <wps:spPr>
                            <a:xfrm>
                              <a:off x="3443282" y="1266705"/>
                              <a:ext cx="1117204" cy="535832"/>
                            </a:xfrm>
                            <a:prstGeom prst="rect">
                              <a:avLst/>
                            </a:prstGeom>
                            <a:noFill/>
                          </wps:spPr>
                          <wps:txbx>
                            <w:txbxContent>
                              <w:p w14:paraId="2A325059" w14:textId="77777777" w:rsidR="005863E1" w:rsidRDefault="005863E1" w:rsidP="00520626">
                                <w:r>
                                  <w:rPr>
                                    <w:rFonts w:hAnsi="Calibri"/>
                                    <w:color w:val="000000" w:themeColor="text1"/>
                                    <w:kern w:val="24"/>
                                    <w:sz w:val="12"/>
                                    <w:szCs w:val="12"/>
                                    <w:lang w:val="en-US"/>
                                  </w:rPr>
                                  <w:t>outcrop data</w:t>
                                </w:r>
                              </w:p>
                            </w:txbxContent>
                          </wps:txbx>
                          <wps:bodyPr wrap="none" rtlCol="0">
                            <a:spAutoFit/>
                          </wps:bodyPr>
                        </wps:wsp>
                        <wps:wsp>
                          <wps:cNvPr id="2047755452" name="TextBox 47"/>
                          <wps:cNvSpPr txBox="1"/>
                          <wps:spPr>
                            <a:xfrm>
                              <a:off x="2070738" y="1632405"/>
                              <a:ext cx="2702442" cy="535832"/>
                            </a:xfrm>
                            <a:prstGeom prst="rect">
                              <a:avLst/>
                            </a:prstGeom>
                            <a:noFill/>
                          </wps:spPr>
                          <wps:txbx>
                            <w:txbxContent>
                              <w:p w14:paraId="49C6D201" w14:textId="77777777" w:rsidR="005863E1" w:rsidRDefault="005863E1" w:rsidP="00520626">
                                <w:r>
                                  <w:rPr>
                                    <w:rFonts w:hAnsi="Calibri"/>
                                    <w:color w:val="000000" w:themeColor="text1"/>
                                    <w:kern w:val="24"/>
                                    <w:sz w:val="12"/>
                                    <w:szCs w:val="12"/>
                                    <w:lang w:val="en-US"/>
                                  </w:rPr>
                                  <w:t>fault rock mineralogy and geochemistry</w:t>
                                </w:r>
                              </w:p>
                            </w:txbxContent>
                          </wps:txbx>
                          <wps:bodyPr wrap="none" rtlCol="0">
                            <a:spAutoFit/>
                          </wps:bodyPr>
                        </wps:wsp>
                        <wps:wsp>
                          <wps:cNvPr id="2047755454" name="Rectangle 2047755454"/>
                          <wps:cNvSpPr/>
                          <wps:spPr>
                            <a:xfrm>
                              <a:off x="2619352" y="4983003"/>
                              <a:ext cx="912870" cy="45719"/>
                            </a:xfrm>
                            <a:prstGeom prst="rect">
                              <a:avLst/>
                            </a:prstGeom>
                            <a:solidFill>
                              <a:sysClr val="window" lastClr="FFFFFF">
                                <a:lumMod val="50000"/>
                              </a:sysClr>
                            </a:solidFill>
                            <a:ln w="12700" cap="flat" cmpd="sng" algn="ctr">
                              <a:noFill/>
                              <a:prstDash val="solid"/>
                              <a:miter lim="800000"/>
                            </a:ln>
                            <a:effectLst/>
                          </wps:spPr>
                          <wps:bodyPr rtlCol="0" anchor="ctr"/>
                        </wps:wsp>
                        <wps:wsp>
                          <wps:cNvPr id="2047755455" name="Rectangle 2047755455"/>
                          <wps:cNvSpPr/>
                          <wps:spPr>
                            <a:xfrm>
                              <a:off x="2806924" y="5323965"/>
                              <a:ext cx="2074705" cy="45719"/>
                            </a:xfrm>
                            <a:prstGeom prst="rect">
                              <a:avLst/>
                            </a:prstGeom>
                            <a:solidFill>
                              <a:sysClr val="window" lastClr="FFFFFF">
                                <a:lumMod val="50000"/>
                              </a:sysClr>
                            </a:solidFill>
                            <a:ln w="12700" cap="flat" cmpd="sng" algn="ctr">
                              <a:noFill/>
                              <a:prstDash val="solid"/>
                              <a:miter lim="800000"/>
                            </a:ln>
                            <a:effectLst/>
                          </wps:spPr>
                          <wps:bodyPr rtlCol="0" anchor="ctr"/>
                        </wps:wsp>
                        <wps:wsp>
                          <wps:cNvPr id="2047755456" name="TextBox 52"/>
                          <wps:cNvSpPr txBox="1"/>
                          <wps:spPr>
                            <a:xfrm>
                              <a:off x="3348865" y="3105098"/>
                              <a:ext cx="2263584" cy="535832"/>
                            </a:xfrm>
                            <a:prstGeom prst="rect">
                              <a:avLst/>
                            </a:prstGeom>
                            <a:noFill/>
                          </wps:spPr>
                          <wps:txbx>
                            <w:txbxContent>
                              <w:p w14:paraId="6D2B22ED" w14:textId="77777777" w:rsidR="005863E1" w:rsidRDefault="005863E1" w:rsidP="00520626">
                                <w:r>
                                  <w:rPr>
                                    <w:rFonts w:hAnsi="Calibri"/>
                                    <w:color w:val="000000" w:themeColor="text1"/>
                                    <w:kern w:val="24"/>
                                    <w:sz w:val="12"/>
                                    <w:szCs w:val="12"/>
                                    <w:lang w:val="en-US"/>
                                  </w:rPr>
                                  <w:t>drilling and borehole geophysics</w:t>
                                </w:r>
                              </w:p>
                            </w:txbxContent>
                          </wps:txbx>
                          <wps:bodyPr wrap="none" rtlCol="0">
                            <a:spAutoFit/>
                          </wps:bodyPr>
                        </wps:wsp>
                        <wps:wsp>
                          <wps:cNvPr id="2047755457" name="TextBox 53"/>
                          <wps:cNvSpPr txBox="1"/>
                          <wps:spPr>
                            <a:xfrm>
                              <a:off x="3534321" y="3440396"/>
                              <a:ext cx="1975470" cy="535832"/>
                            </a:xfrm>
                            <a:prstGeom prst="rect">
                              <a:avLst/>
                            </a:prstGeom>
                            <a:noFill/>
                          </wps:spPr>
                          <wps:txbx>
                            <w:txbxContent>
                              <w:p w14:paraId="1BFD4516" w14:textId="77777777" w:rsidR="005863E1" w:rsidRDefault="005863E1" w:rsidP="00520626">
                                <w:r>
                                  <w:rPr>
                                    <w:rFonts w:hAnsi="Calibri"/>
                                    <w:color w:val="000000" w:themeColor="text1"/>
                                    <w:kern w:val="24"/>
                                    <w:sz w:val="12"/>
                                    <w:szCs w:val="12"/>
                                    <w:lang w:val="en-US"/>
                                  </w:rPr>
                                  <w:t xml:space="preserve">packer and flowmeter tests </w:t>
                                </w:r>
                              </w:p>
                            </w:txbxContent>
                          </wps:txbx>
                          <wps:bodyPr wrap="none" rtlCol="0">
                            <a:spAutoFit/>
                          </wps:bodyPr>
                        </wps:wsp>
                        <wps:wsp>
                          <wps:cNvPr id="2047755458" name="TextBox 54"/>
                          <wps:cNvSpPr txBox="1"/>
                          <wps:spPr>
                            <a:xfrm>
                              <a:off x="4386711" y="3827052"/>
                              <a:ext cx="1193791" cy="535832"/>
                            </a:xfrm>
                            <a:prstGeom prst="rect">
                              <a:avLst/>
                            </a:prstGeom>
                            <a:noFill/>
                          </wps:spPr>
                          <wps:txbx>
                            <w:txbxContent>
                              <w:p w14:paraId="405DFFB9" w14:textId="445FD8AA" w:rsidR="005863E1" w:rsidRDefault="005863E1" w:rsidP="00520626">
                                <w:r>
                                  <w:rPr>
                                    <w:rFonts w:hAnsi="Calibri"/>
                                    <w:color w:val="000000" w:themeColor="text1"/>
                                    <w:kern w:val="24"/>
                                    <w:sz w:val="12"/>
                                    <w:szCs w:val="12"/>
                                    <w:lang w:val="en-US"/>
                                  </w:rPr>
                                  <w:t>pumping tests</w:t>
                                </w:r>
                              </w:p>
                            </w:txbxContent>
                          </wps:txbx>
                          <wps:bodyPr wrap="none" rtlCol="0">
                            <a:spAutoFit/>
                          </wps:bodyPr>
                        </wps:wsp>
                        <wps:wsp>
                          <wps:cNvPr id="2047755459" name="TextBox 55"/>
                          <wps:cNvSpPr txBox="1"/>
                          <wps:spPr>
                            <a:xfrm>
                              <a:off x="4870607" y="4095819"/>
                              <a:ext cx="1447867" cy="904651"/>
                            </a:xfrm>
                            <a:prstGeom prst="rect">
                              <a:avLst/>
                            </a:prstGeom>
                            <a:noFill/>
                          </wps:spPr>
                          <wps:txbx>
                            <w:txbxContent>
                              <w:p w14:paraId="2ED95A18" w14:textId="77777777" w:rsidR="005863E1" w:rsidRDefault="005863E1" w:rsidP="00520626">
                                <w:r>
                                  <w:rPr>
                                    <w:rFonts w:hAnsi="Calibri"/>
                                    <w:color w:val="000000" w:themeColor="text1"/>
                                    <w:kern w:val="24"/>
                                    <w:sz w:val="12"/>
                                    <w:szCs w:val="12"/>
                                    <w:lang w:val="en-US"/>
                                  </w:rPr>
                                  <w:t xml:space="preserve">mapping hydraulic </w:t>
                                </w:r>
                              </w:p>
                              <w:p w14:paraId="63620CBB" w14:textId="77777777" w:rsidR="005863E1" w:rsidRDefault="005863E1" w:rsidP="00520626">
                                <w:r>
                                  <w:rPr>
                                    <w:rFonts w:hAnsi="Calibri"/>
                                    <w:color w:val="000000" w:themeColor="text1"/>
                                    <w:kern w:val="24"/>
                                    <w:sz w:val="12"/>
                                    <w:szCs w:val="12"/>
                                    <w:lang w:val="en-US"/>
                                  </w:rPr>
                                  <w:t>Head gradients</w:t>
                                </w:r>
                              </w:p>
                            </w:txbxContent>
                          </wps:txbx>
                          <wps:bodyPr wrap="none" rtlCol="0">
                            <a:spAutoFit/>
                          </wps:bodyPr>
                        </wps:wsp>
                        <wps:wsp>
                          <wps:cNvPr id="2047755460" name="TextBox 56"/>
                          <wps:cNvSpPr txBox="1"/>
                          <wps:spPr>
                            <a:xfrm>
                              <a:off x="4366338" y="4499778"/>
                              <a:ext cx="1063714" cy="535832"/>
                            </a:xfrm>
                            <a:prstGeom prst="rect">
                              <a:avLst/>
                            </a:prstGeom>
                            <a:noFill/>
                          </wps:spPr>
                          <wps:txbx>
                            <w:txbxContent>
                              <w:p w14:paraId="691A4AEB" w14:textId="77777777" w:rsidR="005863E1" w:rsidRDefault="005863E1" w:rsidP="00520626">
                                <w:r>
                                  <w:rPr>
                                    <w:rFonts w:hAnsi="Calibri"/>
                                    <w:color w:val="000000" w:themeColor="text1"/>
                                    <w:kern w:val="24"/>
                                    <w:sz w:val="12"/>
                                    <w:szCs w:val="12"/>
                                    <w:lang w:val="en-US"/>
                                  </w:rPr>
                                  <w:t>heat tracers</w:t>
                                </w:r>
                              </w:p>
                            </w:txbxContent>
                          </wps:txbx>
                          <wps:bodyPr wrap="none" rtlCol="0">
                            <a:spAutoFit/>
                          </wps:bodyPr>
                        </wps:wsp>
                        <wps:wsp>
                          <wps:cNvPr id="2047755461" name="TextBox 57"/>
                          <wps:cNvSpPr txBox="1"/>
                          <wps:spPr>
                            <a:xfrm>
                              <a:off x="3568509" y="4895810"/>
                              <a:ext cx="1275242" cy="535832"/>
                            </a:xfrm>
                            <a:prstGeom prst="rect">
                              <a:avLst/>
                            </a:prstGeom>
                            <a:noFill/>
                          </wps:spPr>
                          <wps:txbx>
                            <w:txbxContent>
                              <w:p w14:paraId="45BE291A" w14:textId="77777777" w:rsidR="005863E1" w:rsidRDefault="005863E1" w:rsidP="00520626">
                                <w:r>
                                  <w:rPr>
                                    <w:rFonts w:hAnsi="Calibri"/>
                                    <w:color w:val="000000" w:themeColor="text1"/>
                                    <w:kern w:val="24"/>
                                    <w:sz w:val="12"/>
                                    <w:szCs w:val="12"/>
                                    <w:lang w:val="en-US"/>
                                  </w:rPr>
                                  <w:t>artificial tracers</w:t>
                                </w:r>
                              </w:p>
                            </w:txbxContent>
                          </wps:txbx>
                          <wps:bodyPr wrap="none" rtlCol="0">
                            <a:spAutoFit/>
                          </wps:bodyPr>
                        </wps:wsp>
                        <wps:wsp>
                          <wps:cNvPr id="2047755462" name="TextBox 58"/>
                          <wps:cNvSpPr txBox="1"/>
                          <wps:spPr>
                            <a:xfrm>
                              <a:off x="4744921" y="5103776"/>
                              <a:ext cx="1221752" cy="904651"/>
                            </a:xfrm>
                            <a:prstGeom prst="rect">
                              <a:avLst/>
                            </a:prstGeom>
                            <a:noFill/>
                          </wps:spPr>
                          <wps:txbx>
                            <w:txbxContent>
                              <w:p w14:paraId="2CA11918" w14:textId="77777777" w:rsidR="005863E1" w:rsidRDefault="005863E1" w:rsidP="00520626">
                                <w:r>
                                  <w:rPr>
                                    <w:rFonts w:hAnsi="Calibri"/>
                                    <w:color w:val="000000" w:themeColor="text1"/>
                                    <w:kern w:val="24"/>
                                    <w:sz w:val="12"/>
                                    <w:szCs w:val="12"/>
                                    <w:lang w:val="en-US"/>
                                  </w:rPr>
                                  <w:t xml:space="preserve">environmental </w:t>
                                </w:r>
                              </w:p>
                              <w:p w14:paraId="3B4C8097" w14:textId="77777777" w:rsidR="005863E1" w:rsidRDefault="005863E1" w:rsidP="00520626">
                                <w:r>
                                  <w:rPr>
                                    <w:rFonts w:hAnsi="Calibri"/>
                                    <w:color w:val="000000" w:themeColor="text1"/>
                                    <w:kern w:val="24"/>
                                    <w:sz w:val="12"/>
                                    <w:szCs w:val="12"/>
                                    <w:lang w:val="en-US"/>
                                  </w:rPr>
                                  <w:t>tracers</w:t>
                                </w:r>
                              </w:p>
                            </w:txbxContent>
                          </wps:txbx>
                          <wps:bodyPr wrap="none" rtlCol="0">
                            <a:spAutoFit/>
                          </wps:bodyPr>
                        </wps:wsp>
                        <wps:wsp>
                          <wps:cNvPr id="2047755465" name="TextBox 61"/>
                          <wps:cNvSpPr txBox="1"/>
                          <wps:spPr>
                            <a:xfrm rot="16200000">
                              <a:off x="-344785" y="1735381"/>
                              <a:ext cx="1388292" cy="561641"/>
                            </a:xfrm>
                            <a:prstGeom prst="rect">
                              <a:avLst/>
                            </a:prstGeom>
                            <a:noFill/>
                          </wps:spPr>
                          <wps:txbx>
                            <w:txbxContent>
                              <w:p w14:paraId="3746F01E" w14:textId="77777777" w:rsidR="005863E1" w:rsidRDefault="005863E1" w:rsidP="00520626">
                                <w:r>
                                  <w:rPr>
                                    <w:rFonts w:hAnsi="Calibri"/>
                                    <w:color w:val="000000" w:themeColor="text1"/>
                                    <w:kern w:val="24"/>
                                    <w:sz w:val="12"/>
                                    <w:szCs w:val="12"/>
                                    <w:lang w:val="en-US"/>
                                  </w:rPr>
                                  <w:t>Structural Geology</w:t>
                                </w:r>
                              </w:p>
                            </w:txbxContent>
                          </wps:txbx>
                          <wps:bodyPr wrap="none" rtlCol="0">
                            <a:spAutoFit/>
                          </wps:bodyPr>
                        </wps:wsp>
                        <wps:wsp>
                          <wps:cNvPr id="2047755466" name="TextBox 62"/>
                          <wps:cNvSpPr txBox="1"/>
                          <wps:spPr>
                            <a:xfrm rot="16200000">
                              <a:off x="-212169" y="3765562"/>
                              <a:ext cx="1121535" cy="561641"/>
                            </a:xfrm>
                            <a:prstGeom prst="rect">
                              <a:avLst/>
                            </a:prstGeom>
                            <a:noFill/>
                          </wps:spPr>
                          <wps:txbx>
                            <w:txbxContent>
                              <w:p w14:paraId="59A4E99D" w14:textId="77777777" w:rsidR="005863E1" w:rsidRDefault="005863E1" w:rsidP="00520626">
                                <w:r>
                                  <w:rPr>
                                    <w:rFonts w:hAnsi="Calibri"/>
                                    <w:color w:val="000000" w:themeColor="text1"/>
                                    <w:kern w:val="24"/>
                                    <w:sz w:val="12"/>
                                    <w:szCs w:val="12"/>
                                    <w:lang w:val="en-US"/>
                                  </w:rPr>
                                  <w:t>Hydrogeology</w:t>
                                </w:r>
                              </w:p>
                            </w:txbxContent>
                          </wps:txbx>
                          <wps:bodyPr wrap="none" rtlCol="0">
                            <a:spAutoFit/>
                          </wps:bodyPr>
                        </wps:wsp>
                        <wps:wsp>
                          <wps:cNvPr id="2047755467" name="Straight Connector 2047755467"/>
                          <wps:cNvCnPr/>
                          <wps:spPr>
                            <a:xfrm flipV="1">
                              <a:off x="527251" y="657863"/>
                              <a:ext cx="0" cy="2170020"/>
                            </a:xfrm>
                            <a:prstGeom prst="line">
                              <a:avLst/>
                            </a:prstGeom>
                            <a:noFill/>
                            <a:ln w="28575" cap="flat" cmpd="sng" algn="ctr">
                              <a:solidFill>
                                <a:sysClr val="windowText" lastClr="000000"/>
                              </a:solidFill>
                              <a:prstDash val="solid"/>
                              <a:miter lim="800000"/>
                              <a:headEnd type="triangle" w="med" len="med"/>
                              <a:tailEnd type="triangle" w="med" len="med"/>
                            </a:ln>
                            <a:effectLst/>
                          </wps:spPr>
                          <wps:bodyPr/>
                        </wps:wsp>
                        <wps:wsp>
                          <wps:cNvPr id="2047755468" name="Straight Connector 2047755468"/>
                          <wps:cNvCnPr/>
                          <wps:spPr>
                            <a:xfrm flipV="1">
                              <a:off x="527251" y="2927968"/>
                              <a:ext cx="0" cy="2170020"/>
                            </a:xfrm>
                            <a:prstGeom prst="line">
                              <a:avLst/>
                            </a:prstGeom>
                            <a:noFill/>
                            <a:ln w="28575" cap="flat" cmpd="sng" algn="ctr">
                              <a:solidFill>
                                <a:sysClr val="windowText" lastClr="000000"/>
                              </a:solidFill>
                              <a:prstDash val="solid"/>
                              <a:miter lim="800000"/>
                              <a:headEnd type="triangle" w="med" len="med"/>
                              <a:tailEnd type="triangle" w="med" len="med"/>
                            </a:ln>
                            <a:effectLst/>
                          </wps:spPr>
                          <wps:bodyPr/>
                        </wps:wsp>
                        <wps:wsp>
                          <wps:cNvPr id="2047755469" name="Rectangle 2047755469"/>
                          <wps:cNvSpPr/>
                          <wps:spPr>
                            <a:xfrm>
                              <a:off x="1976771" y="743828"/>
                              <a:ext cx="87527" cy="4665660"/>
                            </a:xfrm>
                            <a:prstGeom prst="rect">
                              <a:avLst/>
                            </a:prstGeom>
                            <a:solidFill>
                              <a:sysClr val="windowText" lastClr="000000"/>
                            </a:solidFill>
                            <a:ln w="12700" cap="flat" cmpd="sng" algn="ctr">
                              <a:noFill/>
                              <a:prstDash val="solid"/>
                              <a:miter lim="800000"/>
                            </a:ln>
                            <a:effectLst/>
                          </wps:spPr>
                          <wps:bodyPr rtlCol="0" anchor="ctr"/>
                        </wps:wsp>
                        <wps:wsp>
                          <wps:cNvPr id="2047755470" name="TextBox 67"/>
                          <wps:cNvSpPr txBox="1"/>
                          <wps:spPr>
                            <a:xfrm>
                              <a:off x="1456701" y="70931"/>
                              <a:ext cx="3358906" cy="688927"/>
                            </a:xfrm>
                            <a:prstGeom prst="rect">
                              <a:avLst/>
                            </a:prstGeom>
                            <a:noFill/>
                          </wps:spPr>
                          <wps:txbx>
                            <w:txbxContent>
                              <w:p w14:paraId="5B5B238C" w14:textId="77777777" w:rsidR="005863E1" w:rsidRDefault="005863E1" w:rsidP="00520626">
                                <w:r>
                                  <w:rPr>
                                    <w:rFonts w:hAnsi="Calibri"/>
                                    <w:color w:val="000000" w:themeColor="text1"/>
                                    <w:kern w:val="24"/>
                                    <w:szCs w:val="20"/>
                                    <w:lang w:val="en-US"/>
                                  </w:rPr>
                                  <w:t>Integration Length Scale(m)</w:t>
                                </w:r>
                              </w:p>
                            </w:txbxContent>
                          </wps:txbx>
                          <wps:bodyPr wrap="none" rtlCol="0">
                            <a:spAutoFit/>
                          </wps:bodyPr>
                        </wps:wsp>
                        <wps:wsp>
                          <wps:cNvPr id="2047755471" name="Straight Connector 2047755471"/>
                          <wps:cNvCnPr>
                            <a:cxnSpLocks/>
                          </wps:cNvCnPr>
                          <wps:spPr>
                            <a:xfrm>
                              <a:off x="720063" y="714285"/>
                              <a:ext cx="4186122" cy="9201"/>
                            </a:xfrm>
                            <a:prstGeom prst="line">
                              <a:avLst/>
                            </a:prstGeom>
                            <a:noFill/>
                            <a:ln w="28575" cap="flat" cmpd="sng" algn="ctr">
                              <a:solidFill>
                                <a:sysClr val="windowText" lastClr="000000"/>
                              </a:solidFill>
                              <a:prstDash val="solid"/>
                              <a:miter lim="800000"/>
                            </a:ln>
                            <a:effectLst/>
                          </wps:spPr>
                          <wps:bodyPr/>
                        </wps:wsp>
                        <wps:wsp>
                          <wps:cNvPr id="2047755464" name="TextBox 60"/>
                          <wps:cNvSpPr txBox="1"/>
                          <wps:spPr>
                            <a:xfrm>
                              <a:off x="3869918" y="2736001"/>
                              <a:ext cx="1947509" cy="535832"/>
                            </a:xfrm>
                            <a:prstGeom prst="rect">
                              <a:avLst/>
                            </a:prstGeom>
                            <a:noFill/>
                          </wps:spPr>
                          <wps:txbx>
                            <w:txbxContent>
                              <w:p w14:paraId="0D4B5198" w14:textId="77777777" w:rsidR="005863E1" w:rsidRDefault="005863E1" w:rsidP="00520626">
                                <w:r>
                                  <w:rPr>
                                    <w:rFonts w:hAnsi="Calibri"/>
                                    <w:color w:val="000000" w:themeColor="text1"/>
                                    <w:kern w:val="24"/>
                                    <w:sz w:val="12"/>
                                    <w:szCs w:val="12"/>
                                    <w:lang w:val="en-US"/>
                                  </w:rPr>
                                  <w:t>airborne electro magnetics</w:t>
                                </w:r>
                              </w:p>
                            </w:txbxContent>
                          </wps:txbx>
                          <wps:bodyPr wrap="none" rtlCol="0">
                            <a:spAutoFit/>
                          </wps:bodyPr>
                        </wps:wsp>
                        <wps:wsp>
                          <wps:cNvPr id="2047755453" name="TextBox 48"/>
                          <wps:cNvSpPr txBox="1"/>
                          <wps:spPr>
                            <a:xfrm>
                              <a:off x="1353228" y="1981719"/>
                              <a:ext cx="1584023" cy="535832"/>
                            </a:xfrm>
                            <a:prstGeom prst="rect">
                              <a:avLst/>
                            </a:prstGeom>
                            <a:solidFill>
                              <a:schemeClr val="bg1">
                                <a:alpha val="54000"/>
                              </a:schemeClr>
                            </a:solidFill>
                          </wps:spPr>
                          <wps:txbx>
                            <w:txbxContent>
                              <w:p w14:paraId="43D81D32" w14:textId="77777777" w:rsidR="005863E1" w:rsidRPr="00B61709" w:rsidRDefault="005863E1" w:rsidP="00520626">
                                <w:pPr>
                                  <w:rPr>
                                    <w:color w:val="000000" w:themeColor="text1"/>
                                    <w14:textOutline w14:w="9525" w14:cap="rnd" w14:cmpd="sng" w14:algn="ctr">
                                      <w14:noFill/>
                                      <w14:prstDash w14:val="solid"/>
                                      <w14:bevel/>
                                    </w14:textOutline>
                                  </w:rPr>
                                </w:pPr>
                                <w:r w:rsidRPr="00B61709">
                                  <w:rPr>
                                    <w:rFonts w:hAnsi="Calibri"/>
                                    <w:color w:val="000000" w:themeColor="text1"/>
                                    <w:kern w:val="24"/>
                                    <w:sz w:val="12"/>
                                    <w:szCs w:val="12"/>
                                    <w:lang w:val="en-US"/>
                                    <w14:textOutline w14:w="9525" w14:cap="rnd" w14:cmpd="sng" w14:algn="ctr">
                                      <w14:noFill/>
                                      <w14:prstDash w14:val="solid"/>
                                      <w14:bevel/>
                                    </w14:textOutline>
                                  </w:rPr>
                                  <w:t>laboratory core tests</w:t>
                                </w:r>
                              </w:p>
                            </w:txbxContent>
                          </wps:txbx>
                          <wps:bodyPr wrap="none" rtlCol="0">
                            <a:spAutoFit/>
                          </wps:bodyPr>
                        </wps:wsp>
                        <wps:wsp>
                          <wps:cNvPr id="2047755463" name="TextBox 59"/>
                          <wps:cNvSpPr txBox="1"/>
                          <wps:spPr>
                            <a:xfrm>
                              <a:off x="1408880" y="2367189"/>
                              <a:ext cx="1464887" cy="535832"/>
                            </a:xfrm>
                            <a:prstGeom prst="rect">
                              <a:avLst/>
                            </a:prstGeom>
                            <a:solidFill>
                              <a:schemeClr val="bg1">
                                <a:alpha val="54000"/>
                              </a:schemeClr>
                            </a:solidFill>
                          </wps:spPr>
                          <wps:txbx>
                            <w:txbxContent>
                              <w:p w14:paraId="441C1752" w14:textId="77777777" w:rsidR="005863E1" w:rsidRDefault="005863E1" w:rsidP="00520626">
                                <w:r>
                                  <w:rPr>
                                    <w:rFonts w:hAnsi="Calibri"/>
                                    <w:color w:val="000000" w:themeColor="text1"/>
                                    <w:kern w:val="24"/>
                                    <w:sz w:val="12"/>
                                    <w:szCs w:val="12"/>
                                    <w:lang w:val="en-US"/>
                                  </w:rPr>
                                  <w:t>mini permeameter</w:t>
                                </w:r>
                              </w:p>
                            </w:txbxContent>
                          </wps:txbx>
                          <wps:bodyPr wrap="none" rtlCol="0">
                            <a:spAutoFit/>
                          </wps:bodyPr>
                        </wps:wsp>
                      </wpg:grpSp>
                      <wps:wsp>
                        <wps:cNvPr id="2047755472" name="Rectangle 2047755472"/>
                        <wps:cNvSpPr/>
                        <wps:spPr>
                          <a:xfrm>
                            <a:off x="650681" y="2894330"/>
                            <a:ext cx="769620" cy="544195"/>
                          </a:xfrm>
                          <a:prstGeom prst="rect">
                            <a:avLst/>
                          </a:prstGeom>
                        </wps:spPr>
                        <wps:txbx>
                          <w:txbxContent>
                            <w:p w14:paraId="205CD504" w14:textId="77777777" w:rsidR="005863E1" w:rsidRDefault="005863E1" w:rsidP="00520626">
                              <w:pPr>
                                <w:jc w:val="center"/>
                              </w:pPr>
                              <w:r>
                                <w:rPr>
                                  <w:rFonts w:hAnsi="Calibri"/>
                                  <w:color w:val="000000" w:themeColor="text1"/>
                                  <w:kern w:val="24"/>
                                  <w:sz w:val="14"/>
                                  <w:szCs w:val="14"/>
                                  <w:lang w:val="en-US"/>
                                </w:rPr>
                                <w:t>Approximate Range of Fault Core Width</w:t>
                              </w:r>
                            </w:p>
                          </w:txbxContent>
                        </wps:txbx>
                        <wps:bodyPr wrap="square">
                          <a:spAutoFit/>
                        </wps:bodyPr>
                      </wps:wsp>
                      <wps:wsp>
                        <wps:cNvPr id="2047755473" name="Rectangle 2047755473"/>
                        <wps:cNvSpPr/>
                        <wps:spPr>
                          <a:xfrm>
                            <a:off x="1363430" y="2948636"/>
                            <a:ext cx="590550" cy="528955"/>
                          </a:xfrm>
                          <a:prstGeom prst="rect">
                            <a:avLst/>
                          </a:prstGeom>
                        </wps:spPr>
                        <wps:txbx>
                          <w:txbxContent>
                            <w:p w14:paraId="46A4E74B" w14:textId="77777777" w:rsidR="005863E1" w:rsidRDefault="005863E1" w:rsidP="00520626">
                              <w:pPr>
                                <w:jc w:val="center"/>
                              </w:pPr>
                              <w:r>
                                <w:rPr>
                                  <w:rFonts w:hAnsi="Calibri"/>
                                  <w:color w:val="000000" w:themeColor="text1"/>
                                  <w:kern w:val="24"/>
                                  <w:sz w:val="14"/>
                                  <w:szCs w:val="14"/>
                                  <w:lang w:val="en-US"/>
                                </w:rPr>
                                <w:t xml:space="preserve">Fault Strike </w:t>
                              </w:r>
                            </w:p>
                            <w:p w14:paraId="3F4A150B" w14:textId="77777777" w:rsidR="005863E1" w:rsidRDefault="005863E1" w:rsidP="00520626">
                              <w:pPr>
                                <w:jc w:val="center"/>
                              </w:pPr>
                              <w:r>
                                <w:rPr>
                                  <w:rFonts w:hAnsi="Calibri"/>
                                  <w:color w:val="000000" w:themeColor="text1"/>
                                  <w:kern w:val="24"/>
                                  <w:sz w:val="14"/>
                                  <w:szCs w:val="14"/>
                                  <w:lang w:val="en-US"/>
                                </w:rPr>
                                <w:t>Throw</w:t>
                              </w:r>
                            </w:p>
                          </w:txbxContent>
                        </wps:txbx>
                        <wps:bodyPr wrap="none">
                          <a:spAutoFit/>
                        </wps:bodyPr>
                      </wps:wsp>
                      <wps:wsp>
                        <wps:cNvPr id="2047755474" name="Rectangle 2047755474"/>
                        <wps:cNvSpPr/>
                        <wps:spPr>
                          <a:xfrm>
                            <a:off x="2077879" y="2948355"/>
                            <a:ext cx="590550" cy="528955"/>
                          </a:xfrm>
                          <a:prstGeom prst="rect">
                            <a:avLst/>
                          </a:prstGeom>
                        </wps:spPr>
                        <wps:txbx>
                          <w:txbxContent>
                            <w:p w14:paraId="227B147D" w14:textId="77777777" w:rsidR="005863E1" w:rsidRDefault="005863E1" w:rsidP="00520626">
                              <w:pPr>
                                <w:jc w:val="center"/>
                              </w:pPr>
                              <w:r>
                                <w:rPr>
                                  <w:rFonts w:hAnsi="Calibri"/>
                                  <w:color w:val="000000" w:themeColor="text1"/>
                                  <w:kern w:val="24"/>
                                  <w:sz w:val="14"/>
                                  <w:szCs w:val="14"/>
                                  <w:lang w:val="en-US"/>
                                </w:rPr>
                                <w:t xml:space="preserve">Fault Strike </w:t>
                              </w:r>
                            </w:p>
                            <w:p w14:paraId="66CDB954" w14:textId="77777777" w:rsidR="005863E1" w:rsidRDefault="005863E1" w:rsidP="00520626">
                              <w:pPr>
                                <w:jc w:val="center"/>
                              </w:pPr>
                              <w:r>
                                <w:rPr>
                                  <w:rFonts w:hAnsi="Calibri"/>
                                  <w:color w:val="000000" w:themeColor="text1"/>
                                  <w:kern w:val="24"/>
                                  <w:sz w:val="14"/>
                                  <w:szCs w:val="14"/>
                                  <w:lang w:val="en-US"/>
                                </w:rPr>
                                <w:t>Length</w:t>
                              </w:r>
                            </w:p>
                          </w:txbxContent>
                        </wps:txbx>
                        <wps:bodyPr wrap="none">
                          <a:spAutoFit/>
                        </wps:bodyPr>
                      </wps:wsp>
                    </wpg:wgp>
                  </a:graphicData>
                </a:graphic>
              </wp:inline>
            </w:drawing>
          </mc:Choice>
          <mc:Fallback>
            <w:pict>
              <v:group w14:anchorId="2127E8A1" id="Group 7" o:spid="_x0000_s1026" style="width:262.55pt;height:273.85pt;mso-position-horizontal-relative:char;mso-position-vertical-relative:line" coordorigin="" coordsize="33343,3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">
                <v:group id="Group 21" o:spid="_x0000_s1027" style="position:absolute;width:33343;height:32896" coordsize="63833,60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rect id="Rectangle 22" o:spid="_x0000_s1028" style="position:absolute;left:42881;top:7338;width:6180;height:467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" fillcolor="#d9d9d9" stroked="f" strokeweight="1pt">
                    <v:fill opacity="41377f"/>
                    <v:textbox style="layout-flow:vertical;mso-layout-flow-alt:bottom-to-top"/>
                  </v:rect>
                  <v:rect id="Rectangle 23" o:spid="_x0000_s1029" style="position:absolute;left:28374;top:7338;width:6181;height:467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" fillcolor="#d9d9d9" stroked="f" strokeweight="1pt">
                    <v:fill opacity="41377f"/>
                    <v:textbox style="layout-flow:vertical;mso-layout-flow-alt:bottom-to-top"/>
                  </v:rect>
                  <v:rect id="Rectangle 24" o:spid="_x0000_s1030" style="position:absolute;left:15932;top:7338;width:7758;height:46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" fillcolor="#d9d9d9" stroked="f" strokeweight="1pt">
                    <v:fill opacity="41377f"/>
                    <v:textbox style="layout-flow:vertical;mso-layout-flow-alt:bottom-to-top"/>
                  </v:rect>
                  <v:rect id="Rectangle 25" o:spid="_x0000_s1031" style="position:absolute;width:63833;height:59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" filled="f" strokecolor="#2f528f" strokeweight="1pt"/>
                  <v:shapetype id="_x0000_t202" coordsize="21600,21600" o:spt="202" path="m,l,21600r21600,l21600,xe">
                    <v:stroke joinstyle="miter"/>
                    <v:path gradientshapeok="t" o:connecttype="rect"/>
                  </v:shapetype>
                  <v:shape id="TextBox 20" o:spid="_x0000_s1032" type="#_x0000_t202" style="position:absolute;left:4439;top:3653;width:8036;height:67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" filled="f" stroked="f">
                    <v:textbox style="mso-fit-shape-to-text:t">
                      <w:txbxContent>
                        <w:p w14:paraId="5D26C69C" w14:textId="77777777" w:rsidR="005863E1" w:rsidRDefault="005863E1" w:rsidP="00520626">
                          <w:r>
                            <w:rPr>
                              <w:rFonts w:hAnsi="Calibri"/>
                              <w:color w:val="000000" w:themeColor="text1"/>
                              <w:kern w:val="24"/>
                              <w:sz w:val="21"/>
                              <w:szCs w:val="21"/>
                              <w:lang w:val="en-US"/>
                            </w:rPr>
                            <w:t>0.01</w:t>
                          </w:r>
                        </w:p>
                      </w:txbxContent>
                    </v:textbox>
                  </v:shape>
                  <v:shape id="TextBox 21" o:spid="_x0000_s1033" type="#_x0000_t202" style="position:absolute;left:11972;top:3553;width:6734;height:67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" filled="f" stroked="f">
                    <v:textbox style="mso-fit-shape-to-text:t">
                      <w:txbxContent>
                        <w:p w14:paraId="57B2A22C" w14:textId="77777777" w:rsidR="005863E1" w:rsidRDefault="005863E1" w:rsidP="00520626">
                          <w:r>
                            <w:rPr>
                              <w:rFonts w:hAnsi="Calibri"/>
                              <w:color w:val="000000" w:themeColor="text1"/>
                              <w:kern w:val="24"/>
                              <w:sz w:val="21"/>
                              <w:szCs w:val="21"/>
                              <w:lang w:val="en-US"/>
                            </w:rPr>
                            <w:t>0.1</w:t>
                          </w:r>
                        </w:p>
                      </w:txbxContent>
                    </v:textbox>
                  </v:shape>
                  <v:shape id="TextBox 22" o:spid="_x0000_s1034" type="#_x0000_t202" style="position:absolute;left:19690;top:3745;width:4802;height:67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" filled="f" stroked="f">
                    <v:textbox style="mso-fit-shape-to-text:t">
                      <w:txbxContent>
                        <w:p w14:paraId="6FB8257E" w14:textId="77777777" w:rsidR="005863E1" w:rsidRDefault="005863E1" w:rsidP="00520626">
                          <w:r>
                            <w:rPr>
                              <w:rFonts w:hAnsi="Calibri"/>
                              <w:color w:val="000000" w:themeColor="text1"/>
                              <w:kern w:val="24"/>
                              <w:sz w:val="21"/>
                              <w:szCs w:val="21"/>
                              <w:lang w:val="en-US"/>
                            </w:rPr>
                            <w:t>1</w:t>
                          </w:r>
                        </w:p>
                      </w:txbxContent>
                    </v:textbox>
                  </v:shape>
                  <v:shape id="TextBox 23" o:spid="_x0000_s1035" type="#_x0000_t202" style="position:absolute;left:26080;top:3649;width:6091;height:67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" filled="f" stroked="f">
                    <v:textbox style="mso-fit-shape-to-text:t">
                      <w:txbxContent>
                        <w:p w14:paraId="76161DF2" w14:textId="77777777" w:rsidR="005863E1" w:rsidRDefault="005863E1" w:rsidP="00520626">
                          <w:r>
                            <w:rPr>
                              <w:rFonts w:hAnsi="Calibri"/>
                              <w:color w:val="000000" w:themeColor="text1"/>
                              <w:kern w:val="24"/>
                              <w:sz w:val="21"/>
                              <w:szCs w:val="21"/>
                              <w:lang w:val="en-US"/>
                            </w:rPr>
                            <w:t>10</w:t>
                          </w:r>
                        </w:p>
                      </w:txbxContent>
                    </v:textbox>
                  </v:shape>
                  <v:shape id="TextBox 24" o:spid="_x0000_s1036" type="#_x0000_t202" style="position:absolute;left:32500;top:3649;width:7392;height:67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" filled="f" stroked="f">
                    <v:textbox style="mso-fit-shape-to-text:t">
                      <w:txbxContent>
                        <w:p w14:paraId="77AA02AD" w14:textId="77777777" w:rsidR="005863E1" w:rsidRDefault="005863E1" w:rsidP="00520626">
                          <w:r>
                            <w:rPr>
                              <w:rFonts w:hAnsi="Calibri"/>
                              <w:color w:val="000000" w:themeColor="text1"/>
                              <w:kern w:val="24"/>
                              <w:sz w:val="21"/>
                              <w:szCs w:val="21"/>
                              <w:lang w:val="en-US"/>
                            </w:rPr>
                            <w:t>100</w:t>
                          </w:r>
                        </w:p>
                      </w:txbxContent>
                    </v:textbox>
                  </v:shape>
                  <v:shape id="TextBox 25" o:spid="_x0000_s1037" type="#_x0000_t202" style="position:absolute;left:38902;top:3649;width:8680;height:67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" filled="f" stroked="f">
                    <v:textbox style="mso-fit-shape-to-text:t">
                      <w:txbxContent>
                        <w:p w14:paraId="35D209FC" w14:textId="77777777" w:rsidR="005863E1" w:rsidRDefault="005863E1" w:rsidP="00520626">
                          <w:r>
                            <w:rPr>
                              <w:rFonts w:hAnsi="Calibri"/>
                              <w:color w:val="000000" w:themeColor="text1"/>
                              <w:kern w:val="24"/>
                              <w:sz w:val="21"/>
                              <w:szCs w:val="21"/>
                              <w:lang w:val="en-US"/>
                            </w:rPr>
                            <w:t>1000</w:t>
                          </w:r>
                        </w:p>
                      </w:txbxContent>
                    </v:textbox>
                  </v:shape>
                  <v:shape id="TextBox 26" o:spid="_x0000_s1038" type="#_x0000_t202" style="position:absolute;left:45371;top:3649;width:9981;height:67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" filled="f" stroked="f">
                    <v:textbox style="mso-fit-shape-to-text:t">
                      <w:txbxContent>
                        <w:p w14:paraId="07D0F35C" w14:textId="77777777" w:rsidR="005863E1" w:rsidRDefault="005863E1" w:rsidP="00520626">
                          <w:r>
                            <w:rPr>
                              <w:rFonts w:hAnsi="Calibri"/>
                              <w:color w:val="000000" w:themeColor="text1"/>
                              <w:kern w:val="24"/>
                              <w:sz w:val="21"/>
                              <w:szCs w:val="21"/>
                              <w:lang w:val="en-US"/>
                            </w:rPr>
                            <w:t>10000</w:t>
                          </w:r>
                        </w:p>
                      </w:txbxContent>
                    </v:textbox>
                  </v:shape>
                  <v:rect id="Rectangle 2047755438" o:spid="_x0000_s1039" style="position:absolute;left:13941;top:13901;width:2117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" fillcolor="windowText" stroked="f" strokeweight="1pt"/>
                  <v:rect id="Rectangle 2047755439" o:spid="_x0000_s1040" style="position:absolute;left:13920;top:17391;width:7757;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" fillcolor="windowText" stroked="f" strokeweight="1pt"/>
                  <v:rect id="Rectangle 2047755440" o:spid="_x0000_s1041" style="position:absolute;left:7070;top:20969;width:6871;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" fillcolor="windowText" stroked="f" strokeweight="1pt"/>
                  <v:rect id="Rectangle 2047755441" o:spid="_x0000_s1042" style="position:absolute;left:6997;top:24581;width:6944;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" fillcolor="windowText" stroked="f" strokeweight="1pt"/>
                  <v:rect id="Rectangle 2047755442" o:spid="_x0000_s1043" style="position:absolute;left:7200;top:31839;width:25916;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" fillcolor="#7f7f7f" stroked="f" strokeweight="1pt"/>
                  <v:rect id="Rectangle 2047755443" o:spid="_x0000_s1044" style="position:absolute;left:21196;top:35494;width:14126;height:4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" fillcolor="#7f7f7f" stroked="f" strokeweight="1pt"/>
                  <v:rect id="Rectangle 2047755444" o:spid="_x0000_s1045" style="position:absolute;left:26054;top:39016;width:18556;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" fillcolor="#7f7f7f" stroked="f" strokeweight="1pt"/>
                  <v:rect id="Rectangle 2047755445" o:spid="_x0000_s1046" style="position:absolute;left:35322;top:42683;width:13942;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" fillcolor="#7f7f7f" stroked="f" strokeweight="1pt"/>
                  <v:rect id="Rectangle 2047755446" o:spid="_x0000_s1047" style="position:absolute;left:21196;top:46142;width:23512;height:4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" fillcolor="#7f7f7f" stroked="f" strokeweight="1pt"/>
                  <v:rect id="Rectangle 2047755447" o:spid="_x0000_s1048" style="position:absolute;left:14240;top:13901;width:2117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" fillcolor="windowText" stroked="f" strokeweight="1pt"/>
                  <v:rect id="Rectangle 2047755448" o:spid="_x0000_s1049" style="position:absolute;left:30355;top:10096;width:18556;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" fillcolor="windowText" stroked="f" strokeweight="1pt"/>
                  <v:rect id="Rectangle 2047755449" o:spid="_x0000_s1050" style="position:absolute;left:26612;top:28278;width:12448;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" fillcolor="#7f7f7f" stroked="f" strokeweight="1pt"/>
                  <v:shape id="TextBox 45" o:spid="_x0000_s1051" type="#_x0000_t202" style="position:absolute;left:48424;top:9178;width:7926;height:53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" filled="f" stroked="f">
                    <v:textbox style="mso-fit-shape-to-text:t">
                      <w:txbxContent>
                        <w:p w14:paraId="13FA13C2" w14:textId="77777777" w:rsidR="005863E1" w:rsidRDefault="005863E1" w:rsidP="00520626">
                          <w:r>
                            <w:rPr>
                              <w:rFonts w:hAnsi="Calibri"/>
                              <w:color w:val="000000" w:themeColor="text1"/>
                              <w:kern w:val="24"/>
                              <w:sz w:val="12"/>
                              <w:szCs w:val="12"/>
                              <w:lang w:val="en-US"/>
                            </w:rPr>
                            <w:t>Seismic</w:t>
                          </w:r>
                        </w:p>
                      </w:txbxContent>
                    </v:textbox>
                  </v:shape>
                  <v:shape id="TextBox 46" o:spid="_x0000_s1052" type="#_x0000_t202" style="position:absolute;left:34432;top:12667;width:11172;height:53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" filled="f" stroked="f">
                    <v:textbox style="mso-fit-shape-to-text:t">
                      <w:txbxContent>
                        <w:p w14:paraId="2A325059" w14:textId="77777777" w:rsidR="005863E1" w:rsidRDefault="005863E1" w:rsidP="00520626">
                          <w:r>
                            <w:rPr>
                              <w:rFonts w:hAnsi="Calibri"/>
                              <w:color w:val="000000" w:themeColor="text1"/>
                              <w:kern w:val="24"/>
                              <w:sz w:val="12"/>
                              <w:szCs w:val="12"/>
                              <w:lang w:val="en-US"/>
                            </w:rPr>
                            <w:t>outcrop data</w:t>
                          </w:r>
                        </w:p>
                      </w:txbxContent>
                    </v:textbox>
                  </v:shape>
                  <v:shape id="TextBox 47" o:spid="_x0000_s1053" type="#_x0000_t202" style="position:absolute;left:20707;top:16324;width:27024;height:53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" filled="f" stroked="f">
                    <v:textbox style="mso-fit-shape-to-text:t">
                      <w:txbxContent>
                        <w:p w14:paraId="49C6D201" w14:textId="77777777" w:rsidR="005863E1" w:rsidRDefault="005863E1" w:rsidP="00520626">
                          <w:r>
                            <w:rPr>
                              <w:rFonts w:hAnsi="Calibri"/>
                              <w:color w:val="000000" w:themeColor="text1"/>
                              <w:kern w:val="24"/>
                              <w:sz w:val="12"/>
                              <w:szCs w:val="12"/>
                              <w:lang w:val="en-US"/>
                            </w:rPr>
                            <w:t>fault rock mineralogy and geochemistry</w:t>
                          </w:r>
                        </w:p>
                      </w:txbxContent>
                    </v:textbox>
                  </v:shape>
                  <v:rect id="Rectangle 2047755454" o:spid="_x0000_s1054" style="position:absolute;left:26193;top:49830;width:912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" fillcolor="#7f7f7f" stroked="f" strokeweight="1pt"/>
                  <v:rect id="Rectangle 2047755455" o:spid="_x0000_s1055" style="position:absolute;left:28069;top:53239;width:2074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" fillcolor="#7f7f7f" stroked="f" strokeweight="1pt"/>
                  <v:shape id="TextBox 52" o:spid="_x0000_s1056" type="#_x0000_t202" style="position:absolute;left:33488;top:31050;width:22636;height:53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" filled="f" stroked="f">
                    <v:textbox style="mso-fit-shape-to-text:t">
                      <w:txbxContent>
                        <w:p w14:paraId="6D2B22ED" w14:textId="77777777" w:rsidR="005863E1" w:rsidRDefault="005863E1" w:rsidP="00520626">
                          <w:r>
                            <w:rPr>
                              <w:rFonts w:hAnsi="Calibri"/>
                              <w:color w:val="000000" w:themeColor="text1"/>
                              <w:kern w:val="24"/>
                              <w:sz w:val="12"/>
                              <w:szCs w:val="12"/>
                              <w:lang w:val="en-US"/>
                            </w:rPr>
                            <w:t>drilling and borehole geophysics</w:t>
                          </w:r>
                        </w:p>
                      </w:txbxContent>
                    </v:textbox>
                  </v:shape>
                  <v:shape id="TextBox 53" o:spid="_x0000_s1057" type="#_x0000_t202" style="position:absolute;left:35343;top:34403;width:19754;height:53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" filled="f" stroked="f">
                    <v:textbox style="mso-fit-shape-to-text:t">
                      <w:txbxContent>
                        <w:p w14:paraId="1BFD4516" w14:textId="77777777" w:rsidR="005863E1" w:rsidRDefault="005863E1" w:rsidP="00520626">
                          <w:r>
                            <w:rPr>
                              <w:rFonts w:hAnsi="Calibri"/>
                              <w:color w:val="000000" w:themeColor="text1"/>
                              <w:kern w:val="24"/>
                              <w:sz w:val="12"/>
                              <w:szCs w:val="12"/>
                              <w:lang w:val="en-US"/>
                            </w:rPr>
                            <w:t xml:space="preserve">packer and flowmeter tests </w:t>
                          </w:r>
                        </w:p>
                      </w:txbxContent>
                    </v:textbox>
                  </v:shape>
                  <v:shape id="TextBox 54" o:spid="_x0000_s1058" type="#_x0000_t202" style="position:absolute;left:43867;top:38270;width:11938;height:53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" filled="f" stroked="f">
                    <v:textbox style="mso-fit-shape-to-text:t">
                      <w:txbxContent>
                        <w:p w14:paraId="405DFFB9" w14:textId="445FD8AA" w:rsidR="005863E1" w:rsidRDefault="005863E1" w:rsidP="00520626">
                          <w:r>
                            <w:rPr>
                              <w:rFonts w:hAnsi="Calibri"/>
                              <w:color w:val="000000" w:themeColor="text1"/>
                              <w:kern w:val="24"/>
                              <w:sz w:val="12"/>
                              <w:szCs w:val="12"/>
                              <w:lang w:val="en-US"/>
                            </w:rPr>
                            <w:t>pumping tests</w:t>
                          </w:r>
                        </w:p>
                      </w:txbxContent>
                    </v:textbox>
                  </v:shape>
                  <v:shape id="TextBox 55" o:spid="_x0000_s1059" type="#_x0000_t202" style="position:absolute;left:48706;top:40958;width:14478;height:90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" filled="f" stroked="f">
                    <v:textbox style="mso-fit-shape-to-text:t">
                      <w:txbxContent>
                        <w:p w14:paraId="2ED95A18" w14:textId="77777777" w:rsidR="005863E1" w:rsidRDefault="005863E1" w:rsidP="00520626">
                          <w:r>
                            <w:rPr>
                              <w:rFonts w:hAnsi="Calibri"/>
                              <w:color w:val="000000" w:themeColor="text1"/>
                              <w:kern w:val="24"/>
                              <w:sz w:val="12"/>
                              <w:szCs w:val="12"/>
                              <w:lang w:val="en-US"/>
                            </w:rPr>
                            <w:t xml:space="preserve">mapping hydraulic </w:t>
                          </w:r>
                        </w:p>
                        <w:p w14:paraId="63620CBB" w14:textId="77777777" w:rsidR="005863E1" w:rsidRDefault="005863E1" w:rsidP="00520626">
                          <w:r>
                            <w:rPr>
                              <w:rFonts w:hAnsi="Calibri"/>
                              <w:color w:val="000000" w:themeColor="text1"/>
                              <w:kern w:val="24"/>
                              <w:sz w:val="12"/>
                              <w:szCs w:val="12"/>
                              <w:lang w:val="en-US"/>
                            </w:rPr>
                            <w:t>Head gradients</w:t>
                          </w:r>
                        </w:p>
                      </w:txbxContent>
                    </v:textbox>
                  </v:shape>
                  <v:shape id="TextBox 56" o:spid="_x0000_s1060" type="#_x0000_t202" style="position:absolute;left:43663;top:44997;width:10637;height:53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" filled="f" stroked="f">
                    <v:textbox style="mso-fit-shape-to-text:t">
                      <w:txbxContent>
                        <w:p w14:paraId="691A4AEB" w14:textId="77777777" w:rsidR="005863E1" w:rsidRDefault="005863E1" w:rsidP="00520626">
                          <w:r>
                            <w:rPr>
                              <w:rFonts w:hAnsi="Calibri"/>
                              <w:color w:val="000000" w:themeColor="text1"/>
                              <w:kern w:val="24"/>
                              <w:sz w:val="12"/>
                              <w:szCs w:val="12"/>
                              <w:lang w:val="en-US"/>
                            </w:rPr>
                            <w:t>heat tracers</w:t>
                          </w:r>
                        </w:p>
                      </w:txbxContent>
                    </v:textbox>
                  </v:shape>
                  <v:shape id="TextBox 57" o:spid="_x0000_s1061" type="#_x0000_t202" style="position:absolute;left:35685;top:48958;width:12752;height:53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" filled="f" stroked="f">
                    <v:textbox style="mso-fit-shape-to-text:t">
                      <w:txbxContent>
                        <w:p w14:paraId="45BE291A" w14:textId="77777777" w:rsidR="005863E1" w:rsidRDefault="005863E1" w:rsidP="00520626">
                          <w:r>
                            <w:rPr>
                              <w:rFonts w:hAnsi="Calibri"/>
                              <w:color w:val="000000" w:themeColor="text1"/>
                              <w:kern w:val="24"/>
                              <w:sz w:val="12"/>
                              <w:szCs w:val="12"/>
                              <w:lang w:val="en-US"/>
                            </w:rPr>
                            <w:t>artificial tracers</w:t>
                          </w:r>
                        </w:p>
                      </w:txbxContent>
                    </v:textbox>
                  </v:shape>
                  <v:shape id="TextBox 58" o:spid="_x0000_s1062" type="#_x0000_t202" style="position:absolute;left:47449;top:51037;width:12217;height:90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" filled="f" stroked="f">
                    <v:textbox style="mso-fit-shape-to-text:t">
                      <w:txbxContent>
                        <w:p w14:paraId="2CA11918" w14:textId="77777777" w:rsidR="005863E1" w:rsidRDefault="005863E1" w:rsidP="00520626">
                          <w:r>
                            <w:rPr>
                              <w:rFonts w:hAnsi="Calibri"/>
                              <w:color w:val="000000" w:themeColor="text1"/>
                              <w:kern w:val="24"/>
                              <w:sz w:val="12"/>
                              <w:szCs w:val="12"/>
                              <w:lang w:val="en-US"/>
                            </w:rPr>
                            <w:t xml:space="preserve">environmental </w:t>
                          </w:r>
                        </w:p>
                        <w:p w14:paraId="3B4C8097" w14:textId="77777777" w:rsidR="005863E1" w:rsidRDefault="005863E1" w:rsidP="00520626">
                          <w:r>
                            <w:rPr>
                              <w:rFonts w:hAnsi="Calibri"/>
                              <w:color w:val="000000" w:themeColor="text1"/>
                              <w:kern w:val="24"/>
                              <w:sz w:val="12"/>
                              <w:szCs w:val="12"/>
                              <w:lang w:val="en-US"/>
                            </w:rPr>
                            <w:t>tracers</w:t>
                          </w:r>
                        </w:p>
                      </w:txbxContent>
                    </v:textbox>
                  </v:shape>
                  <v:shape id="TextBox 61" o:spid="_x0000_s1063" type="#_x0000_t202" style="position:absolute;left:-3449;top:17354;width:13883;height:5616;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" filled="f" stroked="f">
                    <v:textbox style="mso-fit-shape-to-text:t">
                      <w:txbxContent>
                        <w:p w14:paraId="3746F01E" w14:textId="77777777" w:rsidR="005863E1" w:rsidRDefault="005863E1" w:rsidP="00520626">
                          <w:r>
                            <w:rPr>
                              <w:rFonts w:hAnsi="Calibri"/>
                              <w:color w:val="000000" w:themeColor="text1"/>
                              <w:kern w:val="24"/>
                              <w:sz w:val="12"/>
                              <w:szCs w:val="12"/>
                              <w:lang w:val="en-US"/>
                            </w:rPr>
                            <w:t>Structural Geology</w:t>
                          </w:r>
                        </w:p>
                      </w:txbxContent>
                    </v:textbox>
                  </v:shape>
                  <v:shape id="TextBox 62" o:spid="_x0000_s1064" type="#_x0000_t202" style="position:absolute;left:-2122;top:37655;width:11215;height:5617;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" filled="f" stroked="f">
                    <v:textbox style="mso-fit-shape-to-text:t">
                      <w:txbxContent>
                        <w:p w14:paraId="59A4E99D" w14:textId="77777777" w:rsidR="005863E1" w:rsidRDefault="005863E1" w:rsidP="00520626">
                          <w:r>
                            <w:rPr>
                              <w:rFonts w:hAnsi="Calibri"/>
                              <w:color w:val="000000" w:themeColor="text1"/>
                              <w:kern w:val="24"/>
                              <w:sz w:val="12"/>
                              <w:szCs w:val="12"/>
                              <w:lang w:val="en-US"/>
                            </w:rPr>
                            <w:t>Hydrogeology</w:t>
                          </w:r>
                        </w:p>
                      </w:txbxContent>
                    </v:textbox>
                  </v:shape>
                  <v:line id="Straight Connector 2047755467" o:spid="_x0000_s1065" style="position:absolute;flip:y;visibility:visible;mso-wrap-style:square" from="5272,6578" to="5272,28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" strokecolor="windowText" strokeweight="2.25pt">
                    <v:stroke startarrow="block" endarrow="block" joinstyle="miter"/>
                  </v:line>
                  <v:line id="Straight Connector 2047755468" o:spid="_x0000_s1066" style="position:absolute;flip:y;visibility:visible;mso-wrap-style:square" from="5272,29279" to="5272,5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" strokecolor="windowText" strokeweight="2.25pt">
                    <v:stroke startarrow="block" endarrow="block" joinstyle="miter"/>
                  </v:line>
                  <v:rect id="Rectangle 2047755469" o:spid="_x0000_s1067" style="position:absolute;left:19767;top:7438;width:875;height:466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" fillcolor="windowText" stroked="f" strokeweight="1pt"/>
                  <v:shape id="TextBox 67" o:spid="_x0000_s1068" type="#_x0000_t202" style="position:absolute;left:14567;top:709;width:33589;height:68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" filled="f" stroked="f">
                    <v:textbox style="mso-fit-shape-to-text:t">
                      <w:txbxContent>
                        <w:p w14:paraId="5B5B238C" w14:textId="77777777" w:rsidR="005863E1" w:rsidRDefault="005863E1" w:rsidP="00520626">
                          <w:r>
                            <w:rPr>
                              <w:rFonts w:hAnsi="Calibri"/>
                              <w:color w:val="000000" w:themeColor="text1"/>
                              <w:kern w:val="24"/>
                              <w:szCs w:val="20"/>
                              <w:lang w:val="en-US"/>
                            </w:rPr>
                            <w:t>Integration Length Scale(m)</w:t>
                          </w:r>
                        </w:p>
                      </w:txbxContent>
                    </v:textbox>
                  </v:shape>
                  <v:line id="Straight Connector 2047755471" o:spid="_x0000_s1069" style="position:absolute;visibility:visible;mso-wrap-style:square" from="7200,7142" to="49061,7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" strokecolor="windowText" strokeweight="2.25pt">
                    <v:stroke joinstyle="miter"/>
                    <o:lock v:ext="edit" shapetype="f"/>
                  </v:line>
                  <v:shape id="TextBox 60" o:spid="_x0000_s1070" type="#_x0000_t202" style="position:absolute;left:38699;top:27360;width:19475;height:53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" filled="f" stroked="f">
                    <v:textbox style="mso-fit-shape-to-text:t">
                      <w:txbxContent>
                        <w:p w14:paraId="0D4B5198" w14:textId="77777777" w:rsidR="005863E1" w:rsidRDefault="005863E1" w:rsidP="00520626">
                          <w:r>
                            <w:rPr>
                              <w:rFonts w:hAnsi="Calibri"/>
                              <w:color w:val="000000" w:themeColor="text1"/>
                              <w:kern w:val="24"/>
                              <w:sz w:val="12"/>
                              <w:szCs w:val="12"/>
                              <w:lang w:val="en-US"/>
                            </w:rPr>
                            <w:t>airborne electro magnetics</w:t>
                          </w:r>
                        </w:p>
                      </w:txbxContent>
                    </v:textbox>
                  </v:shape>
                  <v:shape id="TextBox 48" o:spid="_x0000_s1071" type="#_x0000_t202" style="position:absolute;left:13532;top:19817;width:15840;height:53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" fillcolor="white [3212]" stroked="f">
                    <v:fill opacity="35466f"/>
                    <v:textbox style="mso-fit-shape-to-text:t">
                      <w:txbxContent>
                        <w:p w14:paraId="43D81D32" w14:textId="77777777" w:rsidR="005863E1" w:rsidRPr="00B61709" w:rsidRDefault="005863E1" w:rsidP="00520626">
                          <w:pPr>
                            <w:rPr>
                              <w:color w:val="000000" w:themeColor="text1"/>
                              <w14:textOutline w14:w="9525" w14:cap="rnd" w14:cmpd="sng" w14:algn="ctr">
                                <w14:noFill/>
                                <w14:prstDash w14:val="solid"/>
                                <w14:bevel/>
                              </w14:textOutline>
                            </w:rPr>
                          </w:pPr>
                          <w:r w:rsidRPr="00B61709">
                            <w:rPr>
                              <w:rFonts w:hAnsi="Calibri"/>
                              <w:color w:val="000000" w:themeColor="text1"/>
                              <w:kern w:val="24"/>
                              <w:sz w:val="12"/>
                              <w:szCs w:val="12"/>
                              <w:lang w:val="en-US"/>
                              <w14:textOutline w14:w="9525" w14:cap="rnd" w14:cmpd="sng" w14:algn="ctr">
                                <w14:noFill/>
                                <w14:prstDash w14:val="solid"/>
                                <w14:bevel/>
                              </w14:textOutline>
                            </w:rPr>
                            <w:t>laboratory core tests</w:t>
                          </w:r>
                        </w:p>
                      </w:txbxContent>
                    </v:textbox>
                  </v:shape>
                  <v:shape id="TextBox 59" o:spid="_x0000_s1072" type="#_x0000_t202" style="position:absolute;left:14088;top:23671;width:14649;height:53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" fillcolor="white [3212]" stroked="f">
                    <v:fill opacity="35466f"/>
                    <v:textbox style="mso-fit-shape-to-text:t">
                      <w:txbxContent>
                        <w:p w14:paraId="441C1752" w14:textId="77777777" w:rsidR="005863E1" w:rsidRDefault="005863E1" w:rsidP="00520626">
                          <w:r>
                            <w:rPr>
                              <w:rFonts w:hAnsi="Calibri"/>
                              <w:color w:val="000000" w:themeColor="text1"/>
                              <w:kern w:val="24"/>
                              <w:sz w:val="12"/>
                              <w:szCs w:val="12"/>
                              <w:lang w:val="en-US"/>
                            </w:rPr>
                            <w:t>mini permeameter</w:t>
                          </w:r>
                        </w:p>
                      </w:txbxContent>
                    </v:textbox>
                  </v:shape>
                </v:group>
                <v:rect id="Rectangle 2047755472" o:spid="_x0000_s1073" style="position:absolute;left:6506;top:28943;width:7697;height:5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" filled="f" stroked="f">
                  <v:textbox style="mso-fit-shape-to-text:t">
                    <w:txbxContent>
                      <w:p w14:paraId="205CD504" w14:textId="77777777" w:rsidR="005863E1" w:rsidRDefault="005863E1" w:rsidP="00520626">
                        <w:pPr>
                          <w:jc w:val="center"/>
                        </w:pPr>
                        <w:r>
                          <w:rPr>
                            <w:rFonts w:hAnsi="Calibri"/>
                            <w:color w:val="000000" w:themeColor="text1"/>
                            <w:kern w:val="24"/>
                            <w:sz w:val="14"/>
                            <w:szCs w:val="14"/>
                            <w:lang w:val="en-US"/>
                          </w:rPr>
                          <w:t>Approximate Range of Fault Core Width</w:t>
                        </w:r>
                      </w:p>
                    </w:txbxContent>
                  </v:textbox>
                </v:rect>
                <v:rect id="Rectangle 2047755473" o:spid="_x0000_s1074" style="position:absolute;left:13634;top:29486;width:5905;height:52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" filled="f" stroked="f">
                  <v:textbox style="mso-fit-shape-to-text:t">
                    <w:txbxContent>
                      <w:p w14:paraId="46A4E74B" w14:textId="77777777" w:rsidR="005863E1" w:rsidRDefault="005863E1" w:rsidP="00520626">
                        <w:pPr>
                          <w:jc w:val="center"/>
                        </w:pPr>
                        <w:r>
                          <w:rPr>
                            <w:rFonts w:hAnsi="Calibri"/>
                            <w:color w:val="000000" w:themeColor="text1"/>
                            <w:kern w:val="24"/>
                            <w:sz w:val="14"/>
                            <w:szCs w:val="14"/>
                            <w:lang w:val="en-US"/>
                          </w:rPr>
                          <w:t xml:space="preserve">Fault Strike </w:t>
                        </w:r>
                      </w:p>
                      <w:p w14:paraId="3F4A150B" w14:textId="77777777" w:rsidR="005863E1" w:rsidRDefault="005863E1" w:rsidP="00520626">
                        <w:pPr>
                          <w:jc w:val="center"/>
                        </w:pPr>
                        <w:r>
                          <w:rPr>
                            <w:rFonts w:hAnsi="Calibri"/>
                            <w:color w:val="000000" w:themeColor="text1"/>
                            <w:kern w:val="24"/>
                            <w:sz w:val="14"/>
                            <w:szCs w:val="14"/>
                            <w:lang w:val="en-US"/>
                          </w:rPr>
                          <w:t>Throw</w:t>
                        </w:r>
                      </w:p>
                    </w:txbxContent>
                  </v:textbox>
                </v:rect>
                <v:rect id="Rectangle 2047755474" o:spid="_x0000_s1075" style="position:absolute;left:20778;top:29483;width:5906;height:52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" filled="f" stroked="f">
                  <v:textbox style="mso-fit-shape-to-text:t">
                    <w:txbxContent>
                      <w:p w14:paraId="227B147D" w14:textId="77777777" w:rsidR="005863E1" w:rsidRDefault="005863E1" w:rsidP="00520626">
                        <w:pPr>
                          <w:jc w:val="center"/>
                        </w:pPr>
                        <w:r>
                          <w:rPr>
                            <w:rFonts w:hAnsi="Calibri"/>
                            <w:color w:val="000000" w:themeColor="text1"/>
                            <w:kern w:val="24"/>
                            <w:sz w:val="14"/>
                            <w:szCs w:val="14"/>
                            <w:lang w:val="en-US"/>
                          </w:rPr>
                          <w:t xml:space="preserve">Fault Strike </w:t>
                        </w:r>
                      </w:p>
                      <w:p w14:paraId="66CDB954" w14:textId="77777777" w:rsidR="005863E1" w:rsidRDefault="005863E1" w:rsidP="00520626">
                        <w:pPr>
                          <w:jc w:val="center"/>
                        </w:pPr>
                        <w:r>
                          <w:rPr>
                            <w:rFonts w:hAnsi="Calibri"/>
                            <w:color w:val="000000" w:themeColor="text1"/>
                            <w:kern w:val="24"/>
                            <w:sz w:val="14"/>
                            <w:szCs w:val="14"/>
                            <w:lang w:val="en-US"/>
                          </w:rPr>
                          <w:t>Length</w:t>
                        </w:r>
                      </w:p>
                    </w:txbxContent>
                  </v:textbox>
                </v:rect>
                <w10:anchorlock/>
              </v:group>
            </w:pict>
          </mc:Fallback>
        </mc:AlternateContent>
      </w:r>
    </w:p>
    <w:p w14:paraId="3CAF038C" w14:textId="1E5F7C4A" w:rsidR="00520626" w:rsidRPr="0038473D" w:rsidRDefault="00520626" w:rsidP="00520626">
      <w:pPr>
        <w:pStyle w:val="Caption"/>
      </w:pPr>
      <w:bookmarkStart w:id="112" w:name="_Ref57021776"/>
      <w:r w:rsidRPr="006F4023">
        <w:t xml:space="preserve">Figure </w:t>
      </w:r>
      <w:r w:rsidRPr="006F4023">
        <w:fldChar w:fldCharType="begin"/>
      </w:r>
      <w:r w:rsidRPr="00C24FB7">
        <w:instrText xml:space="preserve"> SEQ Figure \* ARABIC </w:instrText>
      </w:r>
      <w:r w:rsidRPr="006F4023">
        <w:fldChar w:fldCharType="separate"/>
      </w:r>
      <w:r w:rsidR="00047351">
        <w:rPr>
          <w:noProof/>
        </w:rPr>
        <w:t>3</w:t>
      </w:r>
      <w:r w:rsidRPr="006F4023">
        <w:fldChar w:fldCharType="end"/>
      </w:r>
      <w:bookmarkEnd w:id="112"/>
      <w:r w:rsidRPr="006F4023">
        <w:t xml:space="preserve">: Length scales of methods used for fault investigation (partly after </w:t>
      </w:r>
      <w:proofErr w:type="spellStart"/>
      <w:r w:rsidRPr="006F4023">
        <w:t>Bense</w:t>
      </w:r>
      <w:proofErr w:type="spellEnd"/>
      <w:r w:rsidRPr="006F4023">
        <w:t xml:space="preserve"> et al. 2013). The approximate scales for geophysical techniques and for fault juxtaposition analysis, as well as the typical dimensions </w:t>
      </w:r>
      <w:r w:rsidRPr="0038473D">
        <w:t xml:space="preserve">for faults common to coal projects have been added to the diagram. </w:t>
      </w:r>
    </w:p>
    <w:p w14:paraId="45B42516" w14:textId="77777777" w:rsidR="00520626" w:rsidRPr="00C24FB7" w:rsidRDefault="00520626" w:rsidP="00C53638">
      <w:pPr>
        <w:pStyle w:val="BodyText"/>
        <w:rPr>
          <w:lang w:val="en-AU"/>
        </w:rPr>
      </w:pPr>
    </w:p>
    <w:p w14:paraId="2C900001" w14:textId="3330A876" w:rsidR="00F13B16" w:rsidRPr="00C24FB7" w:rsidRDefault="00C53638" w:rsidP="00F13B16">
      <w:pPr>
        <w:pStyle w:val="BodyText"/>
        <w:rPr>
          <w:lang w:val="en-AU"/>
        </w:rPr>
      </w:pPr>
      <w:r w:rsidRPr="00C24FB7">
        <w:rPr>
          <w:lang w:val="en-AU"/>
        </w:rPr>
        <w:t xml:space="preserve">Outcrop analogues can provide detailed sedimentary facies information for stratigraphic and </w:t>
      </w:r>
      <w:proofErr w:type="spellStart"/>
      <w:r w:rsidRPr="00C24FB7">
        <w:rPr>
          <w:lang w:val="en-AU"/>
        </w:rPr>
        <w:t>hydrostratigraphic</w:t>
      </w:r>
      <w:proofErr w:type="spellEnd"/>
      <w:r w:rsidRPr="00C24FB7">
        <w:rPr>
          <w:lang w:val="en-AU"/>
        </w:rPr>
        <w:t xml:space="preserve"> units that are defined using subsurface data, but caution is required to understand how and where they fit in the sequence.  Depending on the scale of the outcrop, </w:t>
      </w:r>
      <w:r w:rsidR="009D6513" w:rsidRPr="00C24FB7">
        <w:rPr>
          <w:lang w:val="en-AU"/>
        </w:rPr>
        <w:t xml:space="preserve">marker horizons or </w:t>
      </w:r>
      <w:r w:rsidRPr="00C24FB7">
        <w:rPr>
          <w:lang w:val="en-AU"/>
        </w:rPr>
        <w:t xml:space="preserve">sequence boundaries may not be obvious mappable units in the outcrop. Similarly, faults or elements of a fault system can also be observed and </w:t>
      </w:r>
      <w:r w:rsidR="00C4692C" w:rsidRPr="00C24FB7">
        <w:rPr>
          <w:lang w:val="en-AU"/>
        </w:rPr>
        <w:t>characterised</w:t>
      </w:r>
      <w:r w:rsidRPr="00C24FB7">
        <w:rPr>
          <w:lang w:val="en-AU"/>
        </w:rPr>
        <w:t xml:space="preserve"> in </w:t>
      </w:r>
      <w:r w:rsidR="00C24FB7" w:rsidRPr="00C24FB7">
        <w:rPr>
          <w:lang w:val="en-AU"/>
        </w:rPr>
        <w:t>outcrop and</w:t>
      </w:r>
      <w:r w:rsidRPr="00C24FB7">
        <w:rPr>
          <w:lang w:val="en-AU"/>
        </w:rPr>
        <w:t xml:space="preserve"> must be placed in context of the regional to local models developed for the site.  </w:t>
      </w:r>
      <w:r w:rsidR="00F13B16" w:rsidRPr="00C24FB7">
        <w:rPr>
          <w:lang w:val="en-AU"/>
        </w:rPr>
        <w:t xml:space="preserve">A logical hierarchy of investigation is </w:t>
      </w:r>
      <w:proofErr w:type="spellStart"/>
      <w:r w:rsidR="00F13B16" w:rsidRPr="00C24FB7">
        <w:rPr>
          <w:lang w:val="en-AU"/>
        </w:rPr>
        <w:t>i</w:t>
      </w:r>
      <w:proofErr w:type="spellEnd"/>
      <w:r w:rsidR="00F13B16" w:rsidRPr="00C24FB7">
        <w:rPr>
          <w:lang w:val="en-AU"/>
        </w:rPr>
        <w:t>) concentrate on lithologies</w:t>
      </w:r>
      <w:r w:rsidR="007739FF" w:rsidRPr="00C24FB7">
        <w:rPr>
          <w:lang w:val="en-AU"/>
        </w:rPr>
        <w:t xml:space="preserve"> and their lateral continuity in a</w:t>
      </w:r>
      <w:r w:rsidR="00F13B16" w:rsidRPr="00C24FB7">
        <w:rPr>
          <w:lang w:val="en-AU"/>
        </w:rPr>
        <w:t xml:space="preserve"> sequence stratigraph</w:t>
      </w:r>
      <w:r w:rsidR="007739FF" w:rsidRPr="00C24FB7">
        <w:rPr>
          <w:lang w:val="en-AU"/>
        </w:rPr>
        <w:t>ic context</w:t>
      </w:r>
      <w:r w:rsidR="00F13B16" w:rsidRPr="00C24FB7">
        <w:rPr>
          <w:lang w:val="en-AU"/>
        </w:rPr>
        <w:t>, ii) identify and characterise the faults,</w:t>
      </w:r>
      <w:r w:rsidR="007739FF" w:rsidRPr="00C24FB7">
        <w:rPr>
          <w:lang w:val="en-AU"/>
        </w:rPr>
        <w:t xml:space="preserve"> relative to stratigraphy</w:t>
      </w:r>
      <w:r w:rsidR="00F13B16" w:rsidRPr="00C24FB7">
        <w:rPr>
          <w:lang w:val="en-AU"/>
        </w:rPr>
        <w:t xml:space="preserve"> and iii) characteri</w:t>
      </w:r>
      <w:r w:rsidR="007739FF" w:rsidRPr="00C24FB7">
        <w:rPr>
          <w:lang w:val="en-AU"/>
        </w:rPr>
        <w:t>s</w:t>
      </w:r>
      <w:r w:rsidR="00F13B16" w:rsidRPr="00C24FB7">
        <w:rPr>
          <w:lang w:val="en-AU"/>
        </w:rPr>
        <w:t xml:space="preserve">e the aquitards and aquifers, their spatial continuity and juxtaposition relative to the target coal measures.  </w:t>
      </w:r>
    </w:p>
    <w:p w14:paraId="6DA93C15" w14:textId="74954502" w:rsidR="00C53638" w:rsidRPr="00C24FB7" w:rsidRDefault="00C53638" w:rsidP="00C53638">
      <w:pPr>
        <w:pStyle w:val="BodyText"/>
        <w:rPr>
          <w:lang w:val="en-AU"/>
        </w:rPr>
      </w:pPr>
      <w:r w:rsidRPr="00C24FB7">
        <w:rPr>
          <w:lang w:val="en-AU"/>
        </w:rPr>
        <w:t xml:space="preserve"> </w:t>
      </w:r>
    </w:p>
    <w:p w14:paraId="1072E58C" w14:textId="1D85626D" w:rsidR="00C53638" w:rsidRPr="00C24FB7" w:rsidRDefault="00C53638" w:rsidP="00C53638">
      <w:pPr>
        <w:pStyle w:val="BodyText"/>
        <w:rPr>
          <w:lang w:val="en-AU"/>
        </w:rPr>
      </w:pPr>
      <w:r w:rsidRPr="00C24FB7">
        <w:rPr>
          <w:lang w:val="en-AU"/>
        </w:rPr>
        <w:t xml:space="preserve">To strengthen the clarity and transparency of interpretation for aquifers and aquitards, development proposals should include or specifically reference the data </w:t>
      </w:r>
      <w:r w:rsidR="009D6513" w:rsidRPr="00C24FB7">
        <w:rPr>
          <w:lang w:val="en-AU"/>
        </w:rPr>
        <w:t xml:space="preserve">used to develop the geological model(s) and </w:t>
      </w:r>
      <w:r w:rsidRPr="00C24FB7">
        <w:rPr>
          <w:lang w:val="en-AU"/>
        </w:rPr>
        <w:t xml:space="preserve">constrain rock character and stratigraphy, such as mineralogy and petrography, measured porosity </w:t>
      </w:r>
      <w:r w:rsidR="00897C0E" w:rsidRPr="00C24FB7">
        <w:rPr>
          <w:lang w:val="en-AU"/>
        </w:rPr>
        <w:t xml:space="preserve">and </w:t>
      </w:r>
      <w:r w:rsidRPr="00C24FB7">
        <w:rPr>
          <w:lang w:val="en-AU"/>
        </w:rPr>
        <w:t xml:space="preserve">permeability, </w:t>
      </w:r>
      <w:r w:rsidR="007505E0" w:rsidRPr="00C24FB7">
        <w:rPr>
          <w:lang w:val="en-AU"/>
        </w:rPr>
        <w:t xml:space="preserve">and the </w:t>
      </w:r>
      <w:r w:rsidRPr="00C24FB7">
        <w:rPr>
          <w:lang w:val="en-AU"/>
        </w:rPr>
        <w:t xml:space="preserve">stratigraphic and facies models or interpretations, determined by a combination of drilling and seismic survey. </w:t>
      </w:r>
    </w:p>
    <w:p w14:paraId="22DCDF56" w14:textId="77777777" w:rsidR="00C53638" w:rsidRPr="00C24FB7" w:rsidRDefault="00C53638" w:rsidP="00C53638">
      <w:pPr>
        <w:pStyle w:val="Heading3Numbered"/>
      </w:pPr>
      <w:bookmarkStart w:id="113" w:name="_Toc66967176"/>
      <w:r w:rsidRPr="00C24FB7">
        <w:t>Regional-scale geological mapping, interpretation, and public domain data</w:t>
      </w:r>
      <w:bookmarkEnd w:id="113"/>
    </w:p>
    <w:p w14:paraId="0E70B7EB" w14:textId="0422A360" w:rsidR="00C53638" w:rsidRPr="00C24FB7" w:rsidRDefault="00C53638" w:rsidP="00C53638">
      <w:pPr>
        <w:pStyle w:val="BodyText"/>
        <w:rPr>
          <w:lang w:val="en-AU"/>
        </w:rPr>
      </w:pPr>
      <w:r w:rsidRPr="00C24FB7">
        <w:rPr>
          <w:lang w:val="en-AU"/>
        </w:rPr>
        <w:lastRenderedPageBreak/>
        <w:t>In Australia, organisations such as Geoscience Australia, CSIRO, state geological surveys and universities, have conducted regional scale studies which can aid the development of resource projects. Accessing these studies, and where possible the data that underpin them, is an important first step in developing an initial interpretation. Exploration and development data that companies are required to file (as part of their leasing of exploration or development rights) contain many types of data from drilling data and mapping, as well as detailed geological assessment and review of that data. General library searches can also reveal key information provided in scientific journals and conference proceedings. Regional to local studies specific to Australian coal measures can also be found in literature such as reports by the Australian Coal Association Research Program ACARP (</w:t>
      </w:r>
      <w:proofErr w:type="gramStart"/>
      <w:r w:rsidRPr="00C24FB7">
        <w:rPr>
          <w:lang w:val="en-AU"/>
        </w:rPr>
        <w:t>e.g.</w:t>
      </w:r>
      <w:proofErr w:type="gramEnd"/>
      <w:r w:rsidRPr="00C24FB7">
        <w:rPr>
          <w:lang w:val="en-AU"/>
        </w:rPr>
        <w:t xml:space="preserve"> </w:t>
      </w:r>
      <w:proofErr w:type="spellStart"/>
      <w:r w:rsidRPr="00C24FB7">
        <w:rPr>
          <w:lang w:val="en-AU"/>
        </w:rPr>
        <w:t>Sliwa</w:t>
      </w:r>
      <w:proofErr w:type="spellEnd"/>
      <w:r w:rsidRPr="00C24FB7">
        <w:rPr>
          <w:lang w:val="en-AU"/>
        </w:rPr>
        <w:t xml:space="preserve"> et al. 2017) and its predecessor NERDCC. </w:t>
      </w:r>
    </w:p>
    <w:p w14:paraId="154C6566" w14:textId="78BF8A58" w:rsidR="00C53638" w:rsidRPr="006F4023" w:rsidRDefault="00C53638" w:rsidP="00C53638">
      <w:pPr>
        <w:pStyle w:val="BodyText"/>
        <w:rPr>
          <w:lang w:val="en-AU"/>
        </w:rPr>
      </w:pPr>
      <w:r w:rsidRPr="00C24FB7">
        <w:rPr>
          <w:lang w:val="en-AU"/>
        </w:rPr>
        <w:t>Due to the differences in mechanical properties of coal versus clastic rocks, considerable differences in fault</w:t>
      </w:r>
      <w:r w:rsidR="007739FF" w:rsidRPr="00C24FB7">
        <w:rPr>
          <w:lang w:val="en-AU"/>
        </w:rPr>
        <w:t xml:space="preserve"> and fracture</w:t>
      </w:r>
      <w:r w:rsidRPr="00C24FB7">
        <w:rPr>
          <w:lang w:val="en-AU"/>
        </w:rPr>
        <w:t xml:space="preserve"> character may be observed in the overburden (aquitards and aquifers) compared to that observed in the mining environment close to the coal. </w:t>
      </w:r>
      <w:r w:rsidR="001410C2" w:rsidRPr="00C24FB7">
        <w:rPr>
          <w:lang w:val="en-AU"/>
        </w:rPr>
        <w:t>These</w:t>
      </w:r>
      <w:r w:rsidRPr="00C24FB7">
        <w:rPr>
          <w:lang w:val="en-AU"/>
        </w:rPr>
        <w:t xml:space="preserve"> differences </w:t>
      </w:r>
      <w:r w:rsidR="001410C2" w:rsidRPr="00C24FB7">
        <w:rPr>
          <w:lang w:val="en-AU"/>
        </w:rPr>
        <w:t>must be carefully</w:t>
      </w:r>
      <w:r w:rsidRPr="00C24FB7">
        <w:rPr>
          <w:lang w:val="en-AU"/>
        </w:rPr>
        <w:t xml:space="preserve"> considered when using various sources of data to assign properties to the aquitards and aquifers.</w:t>
      </w:r>
      <w:r w:rsidRPr="006F4023">
        <w:rPr>
          <w:lang w:val="en-AU"/>
        </w:rPr>
        <w:t xml:space="preserve"> </w:t>
      </w:r>
    </w:p>
    <w:p w14:paraId="2EDAC848" w14:textId="77777777" w:rsidR="00C53638" w:rsidRPr="0038473D" w:rsidRDefault="00C53638" w:rsidP="00C53638">
      <w:pPr>
        <w:pStyle w:val="Heading3Numbered"/>
      </w:pPr>
      <w:bookmarkStart w:id="114" w:name="_Toc66967177"/>
      <w:r w:rsidRPr="0038473D">
        <w:t xml:space="preserve">Aerial photography, </w:t>
      </w:r>
      <w:proofErr w:type="gramStart"/>
      <w:r w:rsidRPr="0038473D">
        <w:t>topography</w:t>
      </w:r>
      <w:proofErr w:type="gramEnd"/>
      <w:r w:rsidRPr="0038473D">
        <w:t xml:space="preserve"> and LIDAR</w:t>
      </w:r>
      <w:bookmarkEnd w:id="114"/>
    </w:p>
    <w:p w14:paraId="1A423DE9" w14:textId="5B4DE56E" w:rsidR="00C53638" w:rsidRPr="0038473D" w:rsidRDefault="00181910" w:rsidP="00C53638">
      <w:pPr>
        <w:pStyle w:val="BodyText"/>
        <w:rPr>
          <w:lang w:val="en-AU"/>
        </w:rPr>
      </w:pPr>
      <w:r w:rsidRPr="00C24FB7">
        <w:rPr>
          <w:lang w:val="en-AU"/>
        </w:rPr>
        <w:t xml:space="preserve">Analysis of lineaments in remote sensing datasets can assist in revealing surface expressions of faults.  </w:t>
      </w:r>
      <w:r w:rsidR="00766C18" w:rsidRPr="00C24FB7">
        <w:rPr>
          <w:lang w:val="en-AU"/>
        </w:rPr>
        <w:t xml:space="preserve">The geology of an exploration region is often obscured by vegetation, or there are landholder issues that can limit surface access. </w:t>
      </w:r>
      <w:r w:rsidR="00C53638" w:rsidRPr="00C24FB7">
        <w:rPr>
          <w:lang w:val="en-AU"/>
        </w:rPr>
        <w:t xml:space="preserve">Modern LIDAR and aerial imagery can help with interpretation of faults, even in regions of very low topographic relief. The use of detrended and light shaded topographic models is a starting point. Detrending is the process of removing the gross topographic tilting. With the appropriate analysis it is often possible to see linear anomalies that may represent the strike of faults. There are also a series of Geoscience Australia </w:t>
      </w:r>
      <w:r w:rsidR="007739FF" w:rsidRPr="00C24FB7">
        <w:rPr>
          <w:lang w:val="en-AU"/>
        </w:rPr>
        <w:t>(</w:t>
      </w:r>
      <w:hyperlink r:id="rId46" w:history="1">
        <w:r w:rsidR="007739FF" w:rsidRPr="006F4023">
          <w:rPr>
            <w:rStyle w:val="Hyperlink"/>
            <w:lang w:val="en-AU"/>
          </w:rPr>
          <w:t>www.ga.gov.au</w:t>
        </w:r>
      </w:hyperlink>
      <w:r w:rsidR="007739FF" w:rsidRPr="006F4023">
        <w:rPr>
          <w:lang w:val="en-AU"/>
        </w:rPr>
        <w:t xml:space="preserve">) </w:t>
      </w:r>
      <w:r w:rsidR="00C53638" w:rsidRPr="006F4023">
        <w:rPr>
          <w:lang w:val="en-AU"/>
        </w:rPr>
        <w:t xml:space="preserve">products including </w:t>
      </w:r>
      <w:hyperlink r:id="rId47" w:history="1">
        <w:r w:rsidR="00C53638" w:rsidRPr="00C24FB7">
          <w:rPr>
            <w:lang w:val="en-AU"/>
          </w:rPr>
          <w:t>Water Observations from Space</w:t>
        </w:r>
      </w:hyperlink>
      <w:r w:rsidR="00C53638" w:rsidRPr="006F4023">
        <w:rPr>
          <w:lang w:val="en-AU"/>
        </w:rPr>
        <w:t xml:space="preserve"> that can be used to review how flash flooding may be controlled by faul</w:t>
      </w:r>
      <w:r w:rsidR="00C53638" w:rsidRPr="0038473D">
        <w:rPr>
          <w:lang w:val="en-AU"/>
        </w:rPr>
        <w:t xml:space="preserve">ts. The NSW Geological Survey bedrock exposure product </w:t>
      </w:r>
      <w:r w:rsidR="007739FF" w:rsidRPr="0038473D">
        <w:rPr>
          <w:lang w:val="en-AU"/>
        </w:rPr>
        <w:t>(</w:t>
      </w:r>
      <w:hyperlink r:id="rId48" w:history="1">
        <w:r w:rsidR="007739FF" w:rsidRPr="006F4023">
          <w:rPr>
            <w:rStyle w:val="Hyperlink"/>
            <w:lang w:val="en-AU"/>
          </w:rPr>
          <w:t>https://datasets.seed.nsw.gov.au/dataset/nsw-seamless-geology-ne-z56-bedrock-exposure</w:t>
        </w:r>
      </w:hyperlink>
      <w:r w:rsidR="007739FF" w:rsidRPr="006F4023">
        <w:rPr>
          <w:lang w:val="en-AU"/>
        </w:rPr>
        <w:t xml:space="preserve">) </w:t>
      </w:r>
      <w:r w:rsidR="00A75487" w:rsidRPr="006F4023">
        <w:rPr>
          <w:lang w:val="en-AU"/>
        </w:rPr>
        <w:t xml:space="preserve">provides a </w:t>
      </w:r>
      <w:r w:rsidR="00A75487" w:rsidRPr="0038473D">
        <w:rPr>
          <w:lang w:val="en-AU"/>
        </w:rPr>
        <w:t>regional surface from which to evaluate structural features in the bedrock that might be inherited in the overlying stratigraphic sequence</w:t>
      </w:r>
      <w:r w:rsidR="00C53638" w:rsidRPr="006F4023">
        <w:rPr>
          <w:lang w:val="en-AU"/>
        </w:rPr>
        <w:t>. Topographic analysis and the production of lineament maps is a possible pr</w:t>
      </w:r>
      <w:r w:rsidR="00C53638" w:rsidRPr="0038473D">
        <w:rPr>
          <w:lang w:val="en-AU"/>
        </w:rPr>
        <w:t xml:space="preserve">eliminary starting point for fault analysis. </w:t>
      </w:r>
    </w:p>
    <w:p w14:paraId="7A4DDF9E" w14:textId="77777777" w:rsidR="00C53638" w:rsidRPr="00C24FB7" w:rsidRDefault="00C53638" w:rsidP="00C53638">
      <w:pPr>
        <w:pStyle w:val="Heading3Numbered"/>
      </w:pPr>
      <w:bookmarkStart w:id="115" w:name="_Toc66967178"/>
      <w:r w:rsidRPr="00C24FB7">
        <w:t>Outcrop geological mapping</w:t>
      </w:r>
      <w:bookmarkEnd w:id="115"/>
    </w:p>
    <w:p w14:paraId="1888B7A6" w14:textId="798B28E8" w:rsidR="00C53638" w:rsidRPr="00C24FB7" w:rsidRDefault="00C53638" w:rsidP="00C53638">
      <w:pPr>
        <w:pStyle w:val="BodyText"/>
        <w:rPr>
          <w:lang w:val="en-AU"/>
        </w:rPr>
      </w:pPr>
      <w:r w:rsidRPr="00C24FB7">
        <w:rPr>
          <w:lang w:val="en-AU"/>
        </w:rPr>
        <w:t xml:space="preserve">Of key importance and often neglected is the constraint provided by geological mapping. This information can be </w:t>
      </w:r>
      <w:proofErr w:type="gramStart"/>
      <w:r w:rsidRPr="00C24FB7">
        <w:rPr>
          <w:lang w:val="en-AU"/>
        </w:rPr>
        <w:t>a valuable asset</w:t>
      </w:r>
      <w:proofErr w:type="gramEnd"/>
      <w:r w:rsidRPr="00C24FB7">
        <w:rPr>
          <w:lang w:val="en-AU"/>
        </w:rPr>
        <w:t xml:space="preserve"> that improves the understanding and also aids the generation of a geological model. Geological mapping takes time but is relatively inexpensive in comparison to drilling. Mapping may provide constraints on where faults come to the </w:t>
      </w:r>
      <w:proofErr w:type="gramStart"/>
      <w:r w:rsidRPr="00C24FB7">
        <w:rPr>
          <w:lang w:val="en-AU"/>
        </w:rPr>
        <w:t>surface, or</w:t>
      </w:r>
      <w:proofErr w:type="gramEnd"/>
      <w:r w:rsidRPr="00C24FB7">
        <w:rPr>
          <w:lang w:val="en-AU"/>
        </w:rPr>
        <w:t xml:space="preserve"> constrain fault orientation. Even if faults cannot be found through geological mapping, the mapping can be used to document where faults are NOT present, or to constrain the strike and dip of key stratigraphic horizons.</w:t>
      </w:r>
    </w:p>
    <w:p w14:paraId="613F3F1B" w14:textId="7B08794E" w:rsidR="00766C18" w:rsidRPr="009C1439" w:rsidRDefault="00766C18" w:rsidP="00766C18">
      <w:pPr>
        <w:pStyle w:val="BodyText"/>
        <w:rPr>
          <w:lang w:val="en-AU"/>
        </w:rPr>
      </w:pPr>
      <w:r w:rsidRPr="009C1439">
        <w:rPr>
          <w:lang w:val="en-AU"/>
        </w:rPr>
        <w:t xml:space="preserve">Faults are very hard to identify in some rock types (for example in the Hawkesbury Sandstone of the Sydney Basin). Often it is easier to identify faults in interbedded or </w:t>
      </w:r>
      <w:proofErr w:type="spellStart"/>
      <w:r w:rsidRPr="009C1439">
        <w:rPr>
          <w:lang w:val="en-AU"/>
        </w:rPr>
        <w:t>heterolithic</w:t>
      </w:r>
      <w:proofErr w:type="spellEnd"/>
      <w:r w:rsidRPr="009C1439">
        <w:rPr>
          <w:lang w:val="en-AU"/>
        </w:rPr>
        <w:t xml:space="preserve"> successions</w:t>
      </w:r>
      <w:r w:rsidR="00BF25FD" w:rsidRPr="009C1439">
        <w:rPr>
          <w:lang w:val="en-AU"/>
        </w:rPr>
        <w:t xml:space="preserve">, more </w:t>
      </w:r>
      <w:r w:rsidRPr="009C1439">
        <w:rPr>
          <w:lang w:val="en-AU"/>
        </w:rPr>
        <w:t xml:space="preserve">common in marine depositional settings. Categorical fault throw information will seldom be derived from a single outcrop, but it is often the case that repeat visits to field exposures can help direct and inform an ongoing project design, </w:t>
      </w:r>
      <w:proofErr w:type="gramStart"/>
      <w:r w:rsidRPr="009C1439">
        <w:rPr>
          <w:lang w:val="en-AU"/>
        </w:rPr>
        <w:t>analysis</w:t>
      </w:r>
      <w:proofErr w:type="gramEnd"/>
      <w:r w:rsidRPr="009C1439">
        <w:rPr>
          <w:lang w:val="en-AU"/>
        </w:rPr>
        <w:t xml:space="preserve"> or risk assessment. </w:t>
      </w:r>
    </w:p>
    <w:p w14:paraId="464CA961" w14:textId="3D79FB26" w:rsidR="00C53638" w:rsidRPr="009C1439" w:rsidRDefault="00C53638" w:rsidP="00C53638">
      <w:pPr>
        <w:pStyle w:val="Heading3Numbered"/>
      </w:pPr>
      <w:bookmarkStart w:id="116" w:name="_Toc66967179"/>
      <w:r w:rsidRPr="009C1439">
        <w:t>Pit and underground mapping</w:t>
      </w:r>
      <w:bookmarkEnd w:id="116"/>
    </w:p>
    <w:p w14:paraId="060ADB90" w14:textId="55C2EE2C" w:rsidR="00C53638" w:rsidRPr="009C1439" w:rsidRDefault="00C53638" w:rsidP="00C53638">
      <w:pPr>
        <w:pStyle w:val="BodyText"/>
        <w:rPr>
          <w:lang w:val="en-AU"/>
        </w:rPr>
      </w:pPr>
      <w:r w:rsidRPr="009C1439">
        <w:rPr>
          <w:lang w:val="en-AU"/>
        </w:rPr>
        <w:t xml:space="preserve">In LCM developments, ongoing mining typically generates detailed records of production, including (for example) data on coal quality, </w:t>
      </w:r>
      <w:r w:rsidR="00AB540E" w:rsidRPr="009C1439">
        <w:rPr>
          <w:lang w:val="en-AU"/>
        </w:rPr>
        <w:t xml:space="preserve">major and </w:t>
      </w:r>
      <w:r w:rsidRPr="009C1439">
        <w:rPr>
          <w:lang w:val="en-AU"/>
        </w:rPr>
        <w:t>minor faulting, degassing and dewatering</w:t>
      </w:r>
      <w:r w:rsidR="00AB540E" w:rsidRPr="009C1439">
        <w:rPr>
          <w:lang w:val="en-AU"/>
        </w:rPr>
        <w:t xml:space="preserve"> behaviour of the strata and faulted ground</w:t>
      </w:r>
      <w:r w:rsidRPr="009C1439">
        <w:rPr>
          <w:lang w:val="en-AU"/>
        </w:rPr>
        <w:t xml:space="preserve">. Significant amounts of geotechnical data are often also collected. These data are useful in developing planning and proposals for either extensions to existing projects </w:t>
      </w:r>
      <w:r w:rsidR="0025515C" w:rsidRPr="009C1439">
        <w:rPr>
          <w:lang w:val="en-AU"/>
        </w:rPr>
        <w:t>(</w:t>
      </w:r>
      <w:proofErr w:type="gramStart"/>
      <w:r w:rsidR="0025515C" w:rsidRPr="009C1439">
        <w:rPr>
          <w:lang w:val="en-AU"/>
        </w:rPr>
        <w:t>i.e.</w:t>
      </w:r>
      <w:proofErr w:type="gramEnd"/>
      <w:r w:rsidR="0025515C" w:rsidRPr="009C1439">
        <w:rPr>
          <w:lang w:val="en-AU"/>
        </w:rPr>
        <w:t xml:space="preserve"> brownfields sites) </w:t>
      </w:r>
      <w:r w:rsidRPr="009C1439">
        <w:rPr>
          <w:lang w:val="en-AU"/>
        </w:rPr>
        <w:t xml:space="preserve">or for new projects. </w:t>
      </w:r>
      <w:proofErr w:type="gramStart"/>
      <w:r w:rsidR="00766C18" w:rsidRPr="009C1439">
        <w:rPr>
          <w:lang w:val="en-AU"/>
        </w:rPr>
        <w:t>In particular, these</w:t>
      </w:r>
      <w:proofErr w:type="gramEnd"/>
      <w:r w:rsidR="00766C18" w:rsidRPr="009C1439">
        <w:rPr>
          <w:lang w:val="en-AU"/>
        </w:rPr>
        <w:t xml:space="preserve"> data can be used to constrain the statistical and probabilistic character of faulting. A sample list of data of these types for open pit mining might include floor maps with noted locations and throws of faults, maps of the distribution of dilution which might constrain faulting locations, and the boundaries of excavated panels (commonly designed to avoid faults and stress related discontinuities). In underground environments these data might include mapping and </w:t>
      </w:r>
      <w:r w:rsidR="00766C18" w:rsidRPr="009C1439">
        <w:rPr>
          <w:lang w:val="en-AU"/>
        </w:rPr>
        <w:lastRenderedPageBreak/>
        <w:t>characterisation of underground access roads, records from drilling conducted to de-gas the coal, or planning and reconciliation between dilution and production.</w:t>
      </w:r>
    </w:p>
    <w:p w14:paraId="6995D74F" w14:textId="652CA648" w:rsidR="00C53638" w:rsidRPr="009C1439" w:rsidRDefault="00C53638" w:rsidP="00C53638">
      <w:pPr>
        <w:pStyle w:val="Heading3Numbered"/>
      </w:pPr>
      <w:bookmarkStart w:id="117" w:name="_Toc66967180"/>
      <w:r w:rsidRPr="009C1439">
        <w:t xml:space="preserve">Borehole </w:t>
      </w:r>
      <w:r w:rsidR="007836C4" w:rsidRPr="009C1439">
        <w:t xml:space="preserve">core, </w:t>
      </w:r>
      <w:proofErr w:type="gramStart"/>
      <w:r w:rsidRPr="009C1439">
        <w:t>wireline</w:t>
      </w:r>
      <w:proofErr w:type="gramEnd"/>
      <w:r w:rsidRPr="009C1439">
        <w:t xml:space="preserve"> and image log interpretation</w:t>
      </w:r>
      <w:bookmarkEnd w:id="117"/>
    </w:p>
    <w:p w14:paraId="3471F427" w14:textId="2657F4BB" w:rsidR="00C53638" w:rsidRPr="009C1439" w:rsidRDefault="00C53638" w:rsidP="00C53638">
      <w:pPr>
        <w:pStyle w:val="BodyText"/>
        <w:rPr>
          <w:lang w:val="en-AU"/>
        </w:rPr>
      </w:pPr>
      <w:r w:rsidRPr="009C1439">
        <w:rPr>
          <w:lang w:val="en-AU"/>
        </w:rPr>
        <w:t>Borehole geophysical logs (</w:t>
      </w:r>
      <w:proofErr w:type="gramStart"/>
      <w:r w:rsidRPr="009C1439">
        <w:rPr>
          <w:lang w:val="en-AU"/>
        </w:rPr>
        <w:t>e.g.</w:t>
      </w:r>
      <w:proofErr w:type="gramEnd"/>
      <w:r w:rsidRPr="009C1439">
        <w:rPr>
          <w:lang w:val="en-AU"/>
        </w:rPr>
        <w:t xml:space="preserve"> natural gamma, </w:t>
      </w:r>
      <w:proofErr w:type="spellStart"/>
      <w:r w:rsidRPr="009C1439">
        <w:rPr>
          <w:lang w:val="en-AU"/>
        </w:rPr>
        <w:t>caliper</w:t>
      </w:r>
      <w:proofErr w:type="spellEnd"/>
      <w:r w:rsidRPr="009C1439">
        <w:rPr>
          <w:lang w:val="en-AU"/>
        </w:rPr>
        <w:t>, acoustic imaging, nuclear magnetic resonance)</w:t>
      </w:r>
      <w:r w:rsidR="007836C4" w:rsidRPr="009C1439">
        <w:rPr>
          <w:lang w:val="en-AU"/>
        </w:rPr>
        <w:t>, core and drill chips</w:t>
      </w:r>
      <w:r w:rsidRPr="009C1439">
        <w:rPr>
          <w:lang w:val="en-AU"/>
        </w:rPr>
        <w:t xml:space="preserve"> are used to identify lithologies and stratigraphic sequences, but can also be used to determine the mechanical stratigraphy and the distribution of fractures relative to lithology</w:t>
      </w:r>
      <w:r w:rsidR="007836C4" w:rsidRPr="009C1439">
        <w:rPr>
          <w:lang w:val="en-AU"/>
        </w:rPr>
        <w:t xml:space="preserve"> in the sequence, </w:t>
      </w:r>
      <w:r w:rsidRPr="009C1439">
        <w:rPr>
          <w:lang w:val="en-AU"/>
        </w:rPr>
        <w:t xml:space="preserve">and stress via borehole breakout methods.  Direct observation of faults and fractures, and the nature of the fault plane in core assists with the interpretation of discrete flow pathways and hydrogeological properties of porous rock. </w:t>
      </w:r>
      <w:r w:rsidR="007836C4" w:rsidRPr="009C1439">
        <w:rPr>
          <w:lang w:val="en-AU"/>
        </w:rPr>
        <w:t xml:space="preserve">Measurement while drilling data can also provide information about rock strength, loss of downhole pressures or returns. </w:t>
      </w:r>
    </w:p>
    <w:p w14:paraId="12B038B7" w14:textId="77777777" w:rsidR="00C53638" w:rsidRPr="009C1439" w:rsidRDefault="00C53638" w:rsidP="00C53638">
      <w:pPr>
        <w:pStyle w:val="Heading3Numbered"/>
      </w:pPr>
      <w:bookmarkStart w:id="118" w:name="_Toc66967181"/>
      <w:r w:rsidRPr="009C1439">
        <w:t>Seismic surveys</w:t>
      </w:r>
      <w:bookmarkEnd w:id="118"/>
    </w:p>
    <w:p w14:paraId="0D7C6EF8" w14:textId="1C295EC8" w:rsidR="00C53638" w:rsidRPr="009C1439" w:rsidRDefault="00C53638" w:rsidP="00C53638">
      <w:pPr>
        <w:pStyle w:val="BodyText"/>
        <w:rPr>
          <w:lang w:val="en-AU"/>
        </w:rPr>
      </w:pPr>
      <w:r w:rsidRPr="009C1439">
        <w:rPr>
          <w:lang w:val="en-AU"/>
        </w:rPr>
        <w:t xml:space="preserve">Reflection seismic surveys are a relatively mature technology that can be used to generate robust 2D profiles and 3D volumes, particularly in layered horizontal or nearly horizontal rock sequences. 3D seismic data is one of the best ways to constrain fault throw and is considerably cheaper than drilling a fine grid of bore holes.  </w:t>
      </w:r>
      <w:r w:rsidR="00766C18" w:rsidRPr="009C1439">
        <w:rPr>
          <w:lang w:val="en-AU"/>
        </w:rPr>
        <w:t xml:space="preserve">3D seismic can be used to visualize the displacement of target coal </w:t>
      </w:r>
      <w:proofErr w:type="gramStart"/>
      <w:r w:rsidR="00766C18" w:rsidRPr="009C1439">
        <w:rPr>
          <w:lang w:val="en-AU"/>
        </w:rPr>
        <w:t>seams, and</w:t>
      </w:r>
      <w:proofErr w:type="gramEnd"/>
      <w:r w:rsidR="00BF25FD" w:rsidRPr="009C1439">
        <w:rPr>
          <w:lang w:val="en-AU"/>
        </w:rPr>
        <w:t xml:space="preserve"> </w:t>
      </w:r>
      <w:r w:rsidR="00766C18" w:rsidRPr="009C1439">
        <w:rPr>
          <w:lang w:val="en-AU"/>
        </w:rPr>
        <w:t xml:space="preserve">map the architecture of the fault system(s) and its variation through the stratigraphy within the proposed development area.  </w:t>
      </w:r>
      <w:r w:rsidRPr="009C1439">
        <w:rPr>
          <w:lang w:val="en-AU"/>
        </w:rPr>
        <w:t xml:space="preserve">  It is also important to collect seismic data over larger regional faults that may juxtapose coal seams with shallow aquifers.</w:t>
      </w:r>
    </w:p>
    <w:p w14:paraId="79B9D331" w14:textId="6AAD3C26" w:rsidR="00C53638" w:rsidRPr="009C1439" w:rsidRDefault="00C53638" w:rsidP="00C53638">
      <w:pPr>
        <w:pStyle w:val="BodyText"/>
        <w:rPr>
          <w:lang w:val="en-AU"/>
        </w:rPr>
      </w:pPr>
      <w:r w:rsidRPr="009C1439">
        <w:rPr>
          <w:lang w:val="en-AU"/>
        </w:rPr>
        <w:t xml:space="preserve">Commonly the data is presented in two-way travel time but with appropriate pre-stack depth migration (PSDM), relatively accurate 3D volumes can be produced. Seismic data always has an inherent resolution limit that depends on the acquisition parameters; these can be tailored to improve the quality and utility of the final structural interpretations.  Archival data, such as scanned paper records, should also be used in addition to electronic forms.  </w:t>
      </w:r>
    </w:p>
    <w:p w14:paraId="68E7FA5B" w14:textId="77777777" w:rsidR="00C53638" w:rsidRPr="009C1439" w:rsidRDefault="00C53638" w:rsidP="00C53638">
      <w:pPr>
        <w:pStyle w:val="Heading3Numbered"/>
      </w:pPr>
      <w:bookmarkStart w:id="119" w:name="_Toc66967182"/>
      <w:r w:rsidRPr="009C1439">
        <w:t>Airborne electromagnetics</w:t>
      </w:r>
      <w:bookmarkEnd w:id="119"/>
    </w:p>
    <w:p w14:paraId="267C6321" w14:textId="21351FB6" w:rsidR="00C53638" w:rsidRPr="009C1439" w:rsidRDefault="00C53638" w:rsidP="00C53638">
      <w:pPr>
        <w:pStyle w:val="BodyText"/>
        <w:rPr>
          <w:lang w:val="en-AU"/>
        </w:rPr>
      </w:pPr>
      <w:r w:rsidRPr="009C1439">
        <w:rPr>
          <w:lang w:val="en-AU"/>
        </w:rPr>
        <w:t xml:space="preserve">Airborne Electromagnetics (AEM) is a maturing technology that requires substantial processing or inversion to adequately image faults and aquifers. AEM can be flown by helicopter with relatively narrow line spacing, without the need for ground access. Strictly speaking, AEM is a 2D dataset, but with appropriate rock type </w:t>
      </w:r>
      <w:r w:rsidR="000C5AAD" w:rsidRPr="009C1439">
        <w:rPr>
          <w:lang w:val="en-AU"/>
        </w:rPr>
        <w:t>parameterisation</w:t>
      </w:r>
      <w:r w:rsidRPr="009C1439">
        <w:rPr>
          <w:lang w:val="en-AU"/>
        </w:rPr>
        <w:t xml:space="preserve"> and geologically motivated inversion (</w:t>
      </w:r>
      <w:proofErr w:type="gramStart"/>
      <w:r w:rsidRPr="009C1439">
        <w:rPr>
          <w:lang w:val="en-AU"/>
        </w:rPr>
        <w:t>i.e.</w:t>
      </w:r>
      <w:proofErr w:type="gramEnd"/>
      <w:r w:rsidRPr="009C1439">
        <w:rPr>
          <w:lang w:val="en-AU"/>
        </w:rPr>
        <w:t xml:space="preserve"> integration with multiple data sets), it can provide sufficient resolution for near 3D constraint on shallow aquifer and fault geometry. Geoscience Australia ha</w:t>
      </w:r>
      <w:r w:rsidR="00181910" w:rsidRPr="009C1439">
        <w:rPr>
          <w:lang w:val="en-AU"/>
        </w:rPr>
        <w:t>s</w:t>
      </w:r>
      <w:r w:rsidRPr="009C1439">
        <w:rPr>
          <w:lang w:val="en-AU"/>
        </w:rPr>
        <w:t xml:space="preserve"> successfully applied this technique to identify multiple faults in shallow sediments, for example along the Darling River at Menindee Lakes (Lawrie et. al. 2012).</w:t>
      </w:r>
    </w:p>
    <w:p w14:paraId="0CF3BC50" w14:textId="77777777" w:rsidR="00C53638" w:rsidRPr="009C1439" w:rsidRDefault="00C53638" w:rsidP="00C53638">
      <w:pPr>
        <w:pStyle w:val="Heading3Numbered"/>
      </w:pPr>
      <w:bookmarkStart w:id="120" w:name="_Toc66967183"/>
      <w:r w:rsidRPr="009C1439">
        <w:t>Fault inferences in sparse data situations</w:t>
      </w:r>
      <w:bookmarkEnd w:id="120"/>
    </w:p>
    <w:p w14:paraId="7D8BFBEF" w14:textId="61AFC1CA" w:rsidR="00C53638" w:rsidRPr="009C1439" w:rsidRDefault="00C53638" w:rsidP="00C53638">
      <w:pPr>
        <w:pStyle w:val="BodyText"/>
        <w:rPr>
          <w:lang w:val="en-AU"/>
        </w:rPr>
      </w:pPr>
      <w:r w:rsidRPr="009C1439">
        <w:rPr>
          <w:lang w:val="en-AU"/>
        </w:rPr>
        <w:t xml:space="preserve">In some situations, faults are inferred from the interrelation of other aspects of </w:t>
      </w:r>
      <w:proofErr w:type="gramStart"/>
      <w:r w:rsidRPr="009C1439">
        <w:rPr>
          <w:lang w:val="en-AU"/>
        </w:rPr>
        <w:t>geology;</w:t>
      </w:r>
      <w:proofErr w:type="gramEnd"/>
      <w:r w:rsidRPr="009C1439">
        <w:rPr>
          <w:lang w:val="en-AU"/>
        </w:rPr>
        <w:t xml:space="preserve"> as faults may not be </w:t>
      </w:r>
      <w:proofErr w:type="spellStart"/>
      <w:r w:rsidRPr="009C1439">
        <w:rPr>
          <w:lang w:val="en-AU"/>
        </w:rPr>
        <w:t>geophysically</w:t>
      </w:r>
      <w:proofErr w:type="spellEnd"/>
      <w:r w:rsidRPr="009C1439">
        <w:rPr>
          <w:lang w:val="en-AU"/>
        </w:rPr>
        <w:t xml:space="preserve"> imaged or intersected in drilling. For example, if a distinct step in level is observed in the subsurface, a fault is inferred. It is common at preliminary planning stages to identify large faults and avoid them, to eliminate or reduce risk to development and production. Even if these larger faults are outside the proposed development plan, changes in the stress or pressure during development could cause reactivation and lead to communication with local or regional aquifers</w:t>
      </w:r>
      <w:r w:rsidR="00A33995" w:rsidRPr="009C1439">
        <w:rPr>
          <w:lang w:val="en-AU"/>
        </w:rPr>
        <w:t>.</w:t>
      </w:r>
      <w:r w:rsidRPr="009C1439">
        <w:rPr>
          <w:lang w:val="en-AU"/>
        </w:rPr>
        <w:t xml:space="preserve"> For this reason, they need consideration and characteri</w:t>
      </w:r>
      <w:r w:rsidR="00181910" w:rsidRPr="009C1439">
        <w:rPr>
          <w:lang w:val="en-AU"/>
        </w:rPr>
        <w:t>s</w:t>
      </w:r>
      <w:r w:rsidRPr="009C1439">
        <w:rPr>
          <w:lang w:val="en-AU"/>
        </w:rPr>
        <w:t xml:space="preserve">ation.  In areas of sparse data, fault statistics of the relationship between length and throw are often employed.  </w:t>
      </w:r>
      <w:r w:rsidR="00766C18" w:rsidRPr="009C1439">
        <w:rPr>
          <w:lang w:val="en-AU"/>
        </w:rPr>
        <w:t xml:space="preserve">If the number and location of smaller faults within a region, relative to aquifers and aquitards can be estimated, it may be able to predict the probability of larger faults of similar </w:t>
      </w:r>
      <w:proofErr w:type="gramStart"/>
      <w:r w:rsidR="00766C18" w:rsidRPr="009C1439">
        <w:rPr>
          <w:lang w:val="en-AU"/>
        </w:rPr>
        <w:t>character, and</w:t>
      </w:r>
      <w:proofErr w:type="gramEnd"/>
      <w:r w:rsidR="00766C18" w:rsidRPr="009C1439">
        <w:rPr>
          <w:lang w:val="en-AU"/>
        </w:rPr>
        <w:t xml:space="preserve"> form the basis for further exploration (Bailey et al. 2005, Barnett et al. 1987, </w:t>
      </w:r>
      <w:proofErr w:type="spellStart"/>
      <w:r w:rsidR="00766C18" w:rsidRPr="009C1439">
        <w:rPr>
          <w:lang w:val="en-AU"/>
        </w:rPr>
        <w:t>Delogkos</w:t>
      </w:r>
      <w:proofErr w:type="spellEnd"/>
      <w:r w:rsidR="00766C18" w:rsidRPr="009C1439">
        <w:rPr>
          <w:lang w:val="en-AU"/>
        </w:rPr>
        <w:t xml:space="preserve"> et al. 2018).</w:t>
      </w:r>
    </w:p>
    <w:p w14:paraId="7E4D0CD6" w14:textId="77777777" w:rsidR="00C53638" w:rsidRPr="009C1439" w:rsidRDefault="00C53638" w:rsidP="00C53638">
      <w:pPr>
        <w:pStyle w:val="Heading3Numbered"/>
      </w:pPr>
      <w:bookmarkStart w:id="121" w:name="_Toc66967184"/>
      <w:r w:rsidRPr="009C1439">
        <w:t>Hydrogeological testing and groundwater level data</w:t>
      </w:r>
      <w:bookmarkEnd w:id="121"/>
    </w:p>
    <w:p w14:paraId="6CF2683F" w14:textId="77777777" w:rsidR="00C53638" w:rsidRPr="009C1439" w:rsidRDefault="00C53638" w:rsidP="00C53638">
      <w:pPr>
        <w:pStyle w:val="BodyText"/>
        <w:rPr>
          <w:lang w:val="en-AU"/>
        </w:rPr>
      </w:pPr>
      <w:r w:rsidRPr="009C1439">
        <w:rPr>
          <w:lang w:val="en-AU"/>
        </w:rPr>
        <w:t xml:space="preserve">Hydraulic head (expressed as </w:t>
      </w:r>
      <w:proofErr w:type="spellStart"/>
      <w:r w:rsidRPr="009C1439">
        <w:rPr>
          <w:lang w:val="en-AU"/>
        </w:rPr>
        <w:t>mAHD</w:t>
      </w:r>
      <w:proofErr w:type="spellEnd"/>
      <w:r w:rsidRPr="009C1439">
        <w:rPr>
          <w:lang w:val="en-AU"/>
        </w:rPr>
        <w:t xml:space="preserve">) can be mapped either side of a possible fault zone identifying possible connected or disconnected zones within an aquifer. Dissimilar measurements either side of a fault are a line of evidence that a fault zone is a potential barrier to groundwater flow across the fault zone, and similarly consistent </w:t>
      </w:r>
      <w:r w:rsidRPr="009C1439">
        <w:rPr>
          <w:lang w:val="en-AU"/>
        </w:rPr>
        <w:lastRenderedPageBreak/>
        <w:t xml:space="preserve">measurements either side of a fault are a line of evidence of continuity of the aquifer across the fault zone. Potentiometric mapping </w:t>
      </w:r>
      <w:proofErr w:type="gramStart"/>
      <w:r w:rsidRPr="009C1439">
        <w:rPr>
          <w:lang w:val="en-AU"/>
        </w:rPr>
        <w:t>could</w:t>
      </w:r>
      <w:proofErr w:type="gramEnd"/>
      <w:r w:rsidRPr="009C1439">
        <w:rPr>
          <w:lang w:val="en-AU"/>
        </w:rPr>
        <w:t xml:space="preserve"> however, be misleading, if measurements are allocated to the incorrect aquifer or aquitard across either side of the fault zone. The influence of discrete flow (</w:t>
      </w:r>
      <w:proofErr w:type="gramStart"/>
      <w:r w:rsidRPr="009C1439">
        <w:rPr>
          <w:lang w:val="en-AU"/>
        </w:rPr>
        <w:t>e.g.</w:t>
      </w:r>
      <w:proofErr w:type="gramEnd"/>
      <w:r w:rsidRPr="009C1439">
        <w:rPr>
          <w:lang w:val="en-AU"/>
        </w:rPr>
        <w:t xml:space="preserve"> through fault related chimneys) on groundwater pressures should also be considered (</w:t>
      </w:r>
      <w:proofErr w:type="spellStart"/>
      <w:r w:rsidRPr="009C1439">
        <w:rPr>
          <w:lang w:val="en-AU"/>
        </w:rPr>
        <w:t>Mallants</w:t>
      </w:r>
      <w:proofErr w:type="spellEnd"/>
      <w:r w:rsidRPr="009C1439">
        <w:rPr>
          <w:lang w:val="en-AU"/>
        </w:rPr>
        <w:t xml:space="preserve"> et al. 2018). </w:t>
      </w:r>
    </w:p>
    <w:p w14:paraId="2A96387E" w14:textId="2E879F0D" w:rsidR="00C53638" w:rsidRPr="009C1439" w:rsidRDefault="00C53638" w:rsidP="00C53638">
      <w:pPr>
        <w:pStyle w:val="BodyText"/>
        <w:rPr>
          <w:lang w:val="en-AU"/>
        </w:rPr>
      </w:pPr>
      <w:r w:rsidRPr="009C1439">
        <w:rPr>
          <w:lang w:val="en-AU"/>
        </w:rPr>
        <w:t xml:space="preserve">Hydrogeological </w:t>
      </w:r>
      <w:r w:rsidR="00C4692C" w:rsidRPr="009C1439">
        <w:rPr>
          <w:lang w:val="en-AU"/>
        </w:rPr>
        <w:t>characterisation</w:t>
      </w:r>
      <w:r w:rsidRPr="009C1439">
        <w:rPr>
          <w:lang w:val="en-AU"/>
        </w:rPr>
        <w:t xml:space="preserve"> near and within fault zones needs to be part of a multidisciplinary analyses involving geology, </w:t>
      </w:r>
      <w:proofErr w:type="gramStart"/>
      <w:r w:rsidRPr="009C1439">
        <w:rPr>
          <w:lang w:val="en-AU"/>
        </w:rPr>
        <w:t>geophysics</w:t>
      </w:r>
      <w:proofErr w:type="gramEnd"/>
      <w:r w:rsidRPr="009C1439">
        <w:rPr>
          <w:lang w:val="en-AU"/>
        </w:rPr>
        <w:t xml:space="preserve"> and other essential lines of evidence (see for example </w:t>
      </w:r>
      <w:proofErr w:type="spellStart"/>
      <w:r w:rsidRPr="009C1439">
        <w:rPr>
          <w:lang w:val="en-AU"/>
        </w:rPr>
        <w:t>Bense</w:t>
      </w:r>
      <w:proofErr w:type="spellEnd"/>
      <w:r w:rsidRPr="009C1439">
        <w:rPr>
          <w:lang w:val="en-AU"/>
        </w:rPr>
        <w:t xml:space="preserve"> et al. 2013). Examples of integrated multi-scale methods for evaluating the integrity of aquitards for coal projects in a risk-based framework was presented by Timms et al (2012), including the possibility of flow pathways through aquitards associated with faults. Hydrogeological testing of aquifers and aquitards can be conducted at </w:t>
      </w:r>
      <w:proofErr w:type="gramStart"/>
      <w:r w:rsidRPr="009C1439">
        <w:rPr>
          <w:lang w:val="en-AU"/>
        </w:rPr>
        <w:t>a number of</w:t>
      </w:r>
      <w:proofErr w:type="gramEnd"/>
      <w:r w:rsidRPr="009C1439">
        <w:rPr>
          <w:lang w:val="en-AU"/>
        </w:rPr>
        <w:t xml:space="preserve"> scales using various methods as shown in</w:t>
      </w:r>
      <w:r w:rsidR="00F50728" w:rsidRPr="009C1439">
        <w:rPr>
          <w:lang w:val="en-AU"/>
        </w:rPr>
        <w:t xml:space="preserve"> </w:t>
      </w:r>
      <w:r w:rsidR="00F50728" w:rsidRPr="002A7BAB">
        <w:rPr>
          <w:lang w:val="en-AU"/>
        </w:rPr>
        <w:fldChar w:fldCharType="begin"/>
      </w:r>
      <w:r w:rsidR="00F50728" w:rsidRPr="009C1439">
        <w:rPr>
          <w:lang w:val="en-AU"/>
        </w:rPr>
        <w:instrText xml:space="preserve"> REF _Ref57021776 \h </w:instrText>
      </w:r>
      <w:r w:rsidR="00F50728" w:rsidRPr="002A7BAB">
        <w:rPr>
          <w:lang w:val="en-AU"/>
        </w:rPr>
      </w:r>
      <w:r w:rsidR="00F50728" w:rsidRPr="002A7BAB">
        <w:rPr>
          <w:lang w:val="en-AU"/>
        </w:rPr>
        <w:fldChar w:fldCharType="separate"/>
      </w:r>
      <w:r w:rsidR="00047351" w:rsidRPr="006F4023">
        <w:t xml:space="preserve">Figure </w:t>
      </w:r>
      <w:r w:rsidR="00047351">
        <w:rPr>
          <w:noProof/>
        </w:rPr>
        <w:t>3</w:t>
      </w:r>
      <w:r w:rsidR="00F50728" w:rsidRPr="002A7BAB">
        <w:rPr>
          <w:lang w:val="en-AU"/>
        </w:rPr>
        <w:fldChar w:fldCharType="end"/>
      </w:r>
      <w:r w:rsidRPr="006F4023">
        <w:rPr>
          <w:lang w:val="en-AU"/>
        </w:rPr>
        <w:t>. The design, operation and reporting of pumping tests should follow industry standard practice, wi</w:t>
      </w:r>
      <w:r w:rsidRPr="0038473D">
        <w:rPr>
          <w:lang w:val="en-AU"/>
        </w:rPr>
        <w:t xml:space="preserve">th careful consideration of the likely aquifer volume to be analysed. </w:t>
      </w:r>
      <w:r w:rsidRPr="009C1439">
        <w:rPr>
          <w:lang w:val="en-AU"/>
        </w:rPr>
        <w:t>An aquifer test program needs to consider heterogeneity of the strata to determine an appropriate number of tests and observations points, and the duration of testing that is required (</w:t>
      </w:r>
      <w:proofErr w:type="gramStart"/>
      <w:r w:rsidRPr="009C1439">
        <w:rPr>
          <w:lang w:val="en-AU"/>
        </w:rPr>
        <w:t>e.g.</w:t>
      </w:r>
      <w:proofErr w:type="gramEnd"/>
      <w:r w:rsidRPr="009C1439">
        <w:rPr>
          <w:lang w:val="en-AU"/>
        </w:rPr>
        <w:t xml:space="preserve"> short test periods may not accurately reflect lateral drawdown extents where a highly conductive fault is present). Other common methods for measuring hydraulic properties range from core scale tests (</w:t>
      </w:r>
      <w:proofErr w:type="gramStart"/>
      <w:r w:rsidRPr="009C1439">
        <w:rPr>
          <w:lang w:val="en-AU"/>
        </w:rPr>
        <w:t>e.g.</w:t>
      </w:r>
      <w:proofErr w:type="gramEnd"/>
      <w:r w:rsidRPr="009C1439">
        <w:rPr>
          <w:lang w:val="en-AU"/>
        </w:rPr>
        <w:t xml:space="preserve"> of aquitards and fine-grained fault gouge), to packer and flow meter testing in open rock boreholes and slug testing of monitoring bores. Alternative methods for measuring in situ hydraulic properties can also be applied, for example, </w:t>
      </w:r>
      <w:r w:rsidR="001F3D89" w:rsidRPr="009C1439">
        <w:rPr>
          <w:lang w:val="en-AU"/>
        </w:rPr>
        <w:t>use</w:t>
      </w:r>
      <w:r w:rsidRPr="009C1439">
        <w:rPr>
          <w:lang w:val="en-AU"/>
        </w:rPr>
        <w:t xml:space="preserve"> of </w:t>
      </w:r>
      <w:r w:rsidR="007836C4" w:rsidRPr="009C1439">
        <w:rPr>
          <w:lang w:val="en-AU"/>
        </w:rPr>
        <w:t>groundwater level changes in response to rainfall recharge or passive pore pressure response to small natural stresses</w:t>
      </w:r>
      <w:r w:rsidRPr="009C1439">
        <w:rPr>
          <w:lang w:val="en-AU"/>
        </w:rPr>
        <w:t xml:space="preserve"> (McMillan et al. 2019). </w:t>
      </w:r>
    </w:p>
    <w:p w14:paraId="6001FA23" w14:textId="38230584" w:rsidR="00C53638" w:rsidRPr="009C1439" w:rsidRDefault="00C53638" w:rsidP="00C53638">
      <w:pPr>
        <w:pStyle w:val="BodyText"/>
        <w:rPr>
          <w:lang w:val="en-AU"/>
        </w:rPr>
      </w:pPr>
      <w:r w:rsidRPr="009C1439">
        <w:rPr>
          <w:lang w:val="en-AU"/>
        </w:rPr>
        <w:t xml:space="preserve">Downhole flow logging, either during </w:t>
      </w:r>
      <w:r w:rsidR="007836C4" w:rsidRPr="009C1439">
        <w:rPr>
          <w:lang w:val="en-AU"/>
        </w:rPr>
        <w:t xml:space="preserve">drilling or </w:t>
      </w:r>
      <w:r w:rsidRPr="009C1439">
        <w:rPr>
          <w:lang w:val="en-AU"/>
        </w:rPr>
        <w:t>pumping or in static water columns within wells, can reveal where in a well transmissive fractures occur</w:t>
      </w:r>
      <w:r w:rsidR="00A33995" w:rsidRPr="009C1439">
        <w:rPr>
          <w:lang w:val="en-AU"/>
        </w:rPr>
        <w:t xml:space="preserve">, and </w:t>
      </w:r>
      <w:r w:rsidRPr="009C1439">
        <w:rPr>
          <w:lang w:val="en-AU"/>
        </w:rPr>
        <w:t>this can be used in conjunction with other downhole methods. Lo et al. (2014) describe use of televiewer, packer testing and heat pulse flow metering to estimate fracture transmissivity and hydraulic connections through fractures.</w:t>
      </w:r>
    </w:p>
    <w:p w14:paraId="46E5EBAD" w14:textId="3E7D367F" w:rsidR="00C53638" w:rsidRPr="009C1439" w:rsidRDefault="00C53638" w:rsidP="00C53638">
      <w:pPr>
        <w:pStyle w:val="BodyText"/>
        <w:rPr>
          <w:lang w:val="en-AU"/>
        </w:rPr>
      </w:pPr>
      <w:r w:rsidRPr="009C1439">
        <w:rPr>
          <w:lang w:val="en-AU"/>
        </w:rPr>
        <w:t>A large range of techniques for borehole geophysics can also provide valuable hydrogeological information, particularly through fault damage zones. Although indirect geophysical measurement of rock properties does have limitations, multiple geophysical logs within a borehole (</w:t>
      </w:r>
      <w:proofErr w:type="gramStart"/>
      <w:r w:rsidRPr="009C1439">
        <w:rPr>
          <w:lang w:val="en-AU"/>
        </w:rPr>
        <w:t>e.g.</w:t>
      </w:r>
      <w:proofErr w:type="gramEnd"/>
      <w:r w:rsidRPr="009C1439">
        <w:rPr>
          <w:lang w:val="en-AU"/>
        </w:rPr>
        <w:t xml:space="preserve"> natural gamma, </w:t>
      </w:r>
      <w:proofErr w:type="spellStart"/>
      <w:r w:rsidRPr="009C1439">
        <w:rPr>
          <w:lang w:val="en-AU"/>
        </w:rPr>
        <w:t>caliper</w:t>
      </w:r>
      <w:proofErr w:type="spellEnd"/>
      <w:r w:rsidRPr="009C1439">
        <w:rPr>
          <w:lang w:val="en-AU"/>
        </w:rPr>
        <w:t xml:space="preserve">, acoustic imaging, nuclear magnetic resonance) are important to identify discrete flow pathways, and hydrogeological properties of porous rock. </w:t>
      </w:r>
    </w:p>
    <w:p w14:paraId="7D8F3951" w14:textId="77777777" w:rsidR="00C53638" w:rsidRPr="009C1439" w:rsidRDefault="00C53638" w:rsidP="00C53638">
      <w:pPr>
        <w:pStyle w:val="Heading3Numbered"/>
      </w:pPr>
      <w:bookmarkStart w:id="122" w:name="_Toc66967185"/>
      <w:r w:rsidRPr="009C1439">
        <w:t>Water chemistry and environmental tracer studies</w:t>
      </w:r>
      <w:bookmarkEnd w:id="122"/>
      <w:r w:rsidRPr="009C1439">
        <w:t xml:space="preserve"> </w:t>
      </w:r>
    </w:p>
    <w:p w14:paraId="7A96C0B9" w14:textId="77777777" w:rsidR="00C53638" w:rsidRPr="009C1439" w:rsidRDefault="00C53638" w:rsidP="00C53638">
      <w:pPr>
        <w:pStyle w:val="BodyText"/>
        <w:rPr>
          <w:lang w:val="en-AU"/>
        </w:rPr>
      </w:pPr>
      <w:r w:rsidRPr="009C1439">
        <w:rPr>
          <w:lang w:val="en-AU"/>
        </w:rPr>
        <w:t>A range of environmental tracer techniques including water chemistry data, temperature and isotope data can be used to provide another line of evidence to define a geological and hydrogeological model of faults</w:t>
      </w:r>
      <w:r w:rsidRPr="009C1439" w:rsidDel="00475905">
        <w:rPr>
          <w:lang w:val="en-AU"/>
        </w:rPr>
        <w:t xml:space="preserve"> </w:t>
      </w:r>
      <w:r w:rsidRPr="009C1439">
        <w:rPr>
          <w:lang w:val="en-AU"/>
        </w:rPr>
        <w:t xml:space="preserve">(OWS 2020). In some cases, these data can also be used to constrain fault location and behaviour. </w:t>
      </w:r>
    </w:p>
    <w:p w14:paraId="046C736B" w14:textId="3A156F6D" w:rsidR="00C53638" w:rsidRPr="009C1439" w:rsidRDefault="00C53638" w:rsidP="00C53638">
      <w:pPr>
        <w:pStyle w:val="BodyText"/>
        <w:rPr>
          <w:lang w:val="en-AU"/>
        </w:rPr>
      </w:pPr>
      <w:r w:rsidRPr="009C1439">
        <w:rPr>
          <w:lang w:val="en-AU"/>
        </w:rPr>
        <w:t xml:space="preserve">The use of multiple lines of evidence, including geological, </w:t>
      </w:r>
      <w:proofErr w:type="gramStart"/>
      <w:r w:rsidRPr="009C1439">
        <w:rPr>
          <w:lang w:val="en-AU"/>
        </w:rPr>
        <w:t>geophysical</w:t>
      </w:r>
      <w:proofErr w:type="gramEnd"/>
      <w:r w:rsidRPr="009C1439">
        <w:rPr>
          <w:lang w:val="en-AU"/>
        </w:rPr>
        <w:t xml:space="preserve"> and hydrogeological information and water chemistry and tracer data is particularly important when testing conceptual models and conditioning groundwater models. Mixing (</w:t>
      </w:r>
      <w:proofErr w:type="gramStart"/>
      <w:r w:rsidRPr="009C1439">
        <w:rPr>
          <w:lang w:val="en-AU"/>
        </w:rPr>
        <w:t>i.e.</w:t>
      </w:r>
      <w:proofErr w:type="gramEnd"/>
      <w:r w:rsidRPr="009C1439">
        <w:rPr>
          <w:lang w:val="en-AU"/>
        </w:rPr>
        <w:t xml:space="preserve"> across aquitards) of waters of differing salinities can be used to infer the existence of faults (Lawrie 2014). Seepage of methane and other gases are common in hydrocarbon and coal bearing </w:t>
      </w:r>
      <w:proofErr w:type="gramStart"/>
      <w:r w:rsidRPr="009C1439">
        <w:rPr>
          <w:lang w:val="en-AU"/>
        </w:rPr>
        <w:t>basins</w:t>
      </w:r>
      <w:r w:rsidR="00A04B07" w:rsidRPr="009C1439">
        <w:rPr>
          <w:lang w:val="en-AU"/>
        </w:rPr>
        <w:t>, and</w:t>
      </w:r>
      <w:proofErr w:type="gramEnd"/>
      <w:r w:rsidR="00A04B07" w:rsidRPr="009C1439">
        <w:rPr>
          <w:lang w:val="en-AU"/>
        </w:rPr>
        <w:t xml:space="preserve"> can be enhanced during subsidence where fracturing occurs</w:t>
      </w:r>
      <w:r w:rsidRPr="009C1439">
        <w:rPr>
          <w:lang w:val="en-AU"/>
        </w:rPr>
        <w:t>. If data on coal related gases are available, they are clearly relevant to fluid flow, and can provide valuable constraint information on the current or possible future groundwater flow (</w:t>
      </w:r>
      <w:proofErr w:type="spellStart"/>
      <w:r w:rsidRPr="009C1439">
        <w:rPr>
          <w:lang w:val="en-AU"/>
        </w:rPr>
        <w:t>Iverach</w:t>
      </w:r>
      <w:proofErr w:type="spellEnd"/>
      <w:r w:rsidRPr="009C1439">
        <w:rPr>
          <w:lang w:val="en-AU"/>
        </w:rPr>
        <w:t xml:space="preserve"> 2015). </w:t>
      </w:r>
    </w:p>
    <w:p w14:paraId="4F948D3D" w14:textId="77777777" w:rsidR="00C53638" w:rsidRPr="009C1439" w:rsidRDefault="00C53638" w:rsidP="00C53638">
      <w:pPr>
        <w:pStyle w:val="BodyText"/>
        <w:rPr>
          <w:lang w:val="en-AU"/>
        </w:rPr>
      </w:pPr>
      <w:r w:rsidRPr="009C1439">
        <w:rPr>
          <w:lang w:val="en-AU"/>
        </w:rPr>
        <w:t>Observations of other gases not directly related to coal basins may be useful (</w:t>
      </w:r>
      <w:proofErr w:type="spellStart"/>
      <w:r w:rsidRPr="009C1439">
        <w:rPr>
          <w:lang w:val="en-AU"/>
        </w:rPr>
        <w:t>Iverach</w:t>
      </w:r>
      <w:proofErr w:type="spellEnd"/>
      <w:r w:rsidRPr="009C1439">
        <w:rPr>
          <w:lang w:val="en-AU"/>
        </w:rPr>
        <w:t xml:space="preserve"> et al. 2019). For example, studies in uranium provinces and basement terrains show that helium and radon gas may be associated with faults (Pereira et al. 2010; Sun et al. 2018). Other studies have inferred inter-aquifer flow via faults from anomalies in temperature or ion chemistry (</w:t>
      </w:r>
      <w:proofErr w:type="spellStart"/>
      <w:r w:rsidRPr="009C1439">
        <w:rPr>
          <w:lang w:val="en-AU"/>
        </w:rPr>
        <w:t>Bense</w:t>
      </w:r>
      <w:proofErr w:type="spellEnd"/>
      <w:r w:rsidRPr="009C1439">
        <w:rPr>
          <w:lang w:val="en-AU"/>
        </w:rPr>
        <w:t xml:space="preserve"> et al. 2008; </w:t>
      </w:r>
      <w:proofErr w:type="spellStart"/>
      <w:r w:rsidRPr="009C1439">
        <w:rPr>
          <w:lang w:val="en-AU"/>
        </w:rPr>
        <w:t>Gumm</w:t>
      </w:r>
      <w:proofErr w:type="spellEnd"/>
      <w:r w:rsidRPr="009C1439">
        <w:rPr>
          <w:lang w:val="en-AU"/>
        </w:rPr>
        <w:t xml:space="preserve"> et al. 2016; </w:t>
      </w:r>
      <w:proofErr w:type="spellStart"/>
      <w:r w:rsidRPr="009C1439">
        <w:rPr>
          <w:lang w:val="en-AU"/>
        </w:rPr>
        <w:t>Batlle</w:t>
      </w:r>
      <w:proofErr w:type="spellEnd"/>
      <w:r w:rsidRPr="009C1439">
        <w:rPr>
          <w:lang w:val="en-AU"/>
        </w:rPr>
        <w:t>-Aguilar et al. 2017).</w:t>
      </w:r>
    </w:p>
    <w:p w14:paraId="10FB2DF0" w14:textId="619C3005" w:rsidR="00C53638" w:rsidRPr="009C1439" w:rsidRDefault="00C53638" w:rsidP="00C53638">
      <w:pPr>
        <w:pStyle w:val="BodyText"/>
        <w:rPr>
          <w:lang w:val="en-AU"/>
        </w:rPr>
      </w:pPr>
      <w:r w:rsidRPr="009C1439">
        <w:rPr>
          <w:lang w:val="en-AU"/>
        </w:rPr>
        <w:t xml:space="preserve">In the broader realm of oil and gas development and production, the integration of production geochemistry data with flow and faults is now an established part of studies. The beginnings of these efforts to integrate data can be found in the foundations of fault flow analysis (Allan 1989). </w:t>
      </w:r>
    </w:p>
    <w:p w14:paraId="0F1DFC53" w14:textId="77777777" w:rsidR="00C53638" w:rsidRPr="009C1439" w:rsidRDefault="00C53638" w:rsidP="00C53638">
      <w:pPr>
        <w:pStyle w:val="BodyText"/>
        <w:rPr>
          <w:lang w:val="en-AU"/>
        </w:rPr>
      </w:pPr>
      <w:r w:rsidRPr="009C1439">
        <w:rPr>
          <w:lang w:val="en-AU"/>
        </w:rPr>
        <w:lastRenderedPageBreak/>
        <w:t>Although environmental tracer data are useful, it is essential to combine these data with appropriate geometric and geological analysis of the fault(s) in 3D. In particular, the production of Allan Maps (Allan, 1989) enables the development of a comprehensive model and understanding of the 3D network of flow pathways, and this network, integrated with the geochemistry, temperature, and tracer data provides the most complete and comprehensive understanding of the flow characteristics. These data inform the conceptual model and can also potentially be used to validate the numerical model.</w:t>
      </w:r>
    </w:p>
    <w:p w14:paraId="7CE994DB" w14:textId="18FF933F" w:rsidR="007E2D6E" w:rsidRPr="009C1439" w:rsidRDefault="007E2D6E" w:rsidP="007E2D6E">
      <w:pPr>
        <w:pStyle w:val="Heading2Numbered"/>
      </w:pPr>
      <w:bookmarkStart w:id="123" w:name="_Toc56782055"/>
      <w:bookmarkStart w:id="124" w:name="_Toc56782190"/>
      <w:bookmarkStart w:id="125" w:name="_Toc57021626"/>
      <w:bookmarkStart w:id="126" w:name="_Toc57266941"/>
      <w:bookmarkStart w:id="127" w:name="_Toc56782056"/>
      <w:bookmarkStart w:id="128" w:name="_Toc56782191"/>
      <w:bookmarkStart w:id="129" w:name="_Toc57021627"/>
      <w:bookmarkStart w:id="130" w:name="_Toc57266942"/>
      <w:bookmarkStart w:id="131" w:name="_Toc56782057"/>
      <w:bookmarkStart w:id="132" w:name="_Toc56782192"/>
      <w:bookmarkStart w:id="133" w:name="_Toc57021628"/>
      <w:bookmarkStart w:id="134" w:name="_Toc57266943"/>
      <w:bookmarkStart w:id="135" w:name="_Toc19180642"/>
      <w:bookmarkStart w:id="136" w:name="_Toc56782058"/>
      <w:bookmarkStart w:id="137" w:name="_Toc56782193"/>
      <w:bookmarkStart w:id="138" w:name="_Toc57021629"/>
      <w:bookmarkStart w:id="139" w:name="_Toc57266944"/>
      <w:bookmarkStart w:id="140" w:name="_Toc56782059"/>
      <w:bookmarkStart w:id="141" w:name="_Toc56782194"/>
      <w:bookmarkStart w:id="142" w:name="_Toc57021630"/>
      <w:bookmarkStart w:id="143" w:name="_Toc57266945"/>
      <w:bookmarkStart w:id="144" w:name="_Toc56782060"/>
      <w:bookmarkStart w:id="145" w:name="_Toc56782195"/>
      <w:bookmarkStart w:id="146" w:name="_Toc57021631"/>
      <w:bookmarkStart w:id="147" w:name="_Toc57266946"/>
      <w:bookmarkStart w:id="148" w:name="_Toc56782061"/>
      <w:bookmarkStart w:id="149" w:name="_Toc56782196"/>
      <w:bookmarkStart w:id="150" w:name="_Toc57021632"/>
      <w:bookmarkStart w:id="151" w:name="_Toc57266947"/>
      <w:bookmarkStart w:id="152" w:name="_Toc56782062"/>
      <w:bookmarkStart w:id="153" w:name="_Toc56782197"/>
      <w:bookmarkStart w:id="154" w:name="_Toc57021633"/>
      <w:bookmarkStart w:id="155" w:name="_Toc57266948"/>
      <w:bookmarkStart w:id="156" w:name="_Toc56782063"/>
      <w:bookmarkStart w:id="157" w:name="_Toc56782198"/>
      <w:bookmarkStart w:id="158" w:name="_Toc57021634"/>
      <w:bookmarkStart w:id="159" w:name="_Toc57266949"/>
      <w:bookmarkStart w:id="160" w:name="_Toc56782064"/>
      <w:bookmarkStart w:id="161" w:name="_Toc56782199"/>
      <w:bookmarkStart w:id="162" w:name="_Toc57021635"/>
      <w:bookmarkStart w:id="163" w:name="_Toc57266950"/>
      <w:bookmarkStart w:id="164" w:name="_Toc56782065"/>
      <w:bookmarkStart w:id="165" w:name="_Toc56782200"/>
      <w:bookmarkStart w:id="166" w:name="_Toc57021636"/>
      <w:bookmarkStart w:id="167" w:name="_Toc57266951"/>
      <w:bookmarkStart w:id="168" w:name="_Toc56782066"/>
      <w:bookmarkStart w:id="169" w:name="_Toc56782201"/>
      <w:bookmarkStart w:id="170" w:name="_Toc57021637"/>
      <w:bookmarkStart w:id="171" w:name="_Toc57266952"/>
      <w:bookmarkStart w:id="172" w:name="_Toc55848961"/>
      <w:bookmarkStart w:id="173" w:name="_Toc55935144"/>
      <w:bookmarkStart w:id="174" w:name="_Toc55935236"/>
      <w:bookmarkStart w:id="175" w:name="_Toc55935605"/>
      <w:bookmarkStart w:id="176" w:name="_Toc56782067"/>
      <w:bookmarkStart w:id="177" w:name="_Toc56782202"/>
      <w:bookmarkStart w:id="178" w:name="_Toc57021638"/>
      <w:bookmarkStart w:id="179" w:name="_Toc57266953"/>
      <w:bookmarkStart w:id="180" w:name="_Toc56782068"/>
      <w:bookmarkStart w:id="181" w:name="_Toc56782203"/>
      <w:bookmarkStart w:id="182" w:name="_Toc57021639"/>
      <w:bookmarkStart w:id="183" w:name="_Toc57266954"/>
      <w:bookmarkStart w:id="184" w:name="_Toc56782069"/>
      <w:bookmarkStart w:id="185" w:name="_Toc56782204"/>
      <w:bookmarkStart w:id="186" w:name="_Toc57021640"/>
      <w:bookmarkStart w:id="187" w:name="_Toc57266955"/>
      <w:bookmarkStart w:id="188" w:name="_Toc56782070"/>
      <w:bookmarkStart w:id="189" w:name="_Toc56782205"/>
      <w:bookmarkStart w:id="190" w:name="_Toc57021641"/>
      <w:bookmarkStart w:id="191" w:name="_Toc57266956"/>
      <w:bookmarkStart w:id="192" w:name="_Toc56782071"/>
      <w:bookmarkStart w:id="193" w:name="_Toc56782206"/>
      <w:bookmarkStart w:id="194" w:name="_Toc57021642"/>
      <w:bookmarkStart w:id="195" w:name="_Toc57266957"/>
      <w:bookmarkStart w:id="196" w:name="_Toc56782072"/>
      <w:bookmarkStart w:id="197" w:name="_Toc56782207"/>
      <w:bookmarkStart w:id="198" w:name="_Toc57021643"/>
      <w:bookmarkStart w:id="199" w:name="_Toc57266958"/>
      <w:bookmarkStart w:id="200" w:name="_Toc56782073"/>
      <w:bookmarkStart w:id="201" w:name="_Toc56782208"/>
      <w:bookmarkStart w:id="202" w:name="_Toc57021644"/>
      <w:bookmarkStart w:id="203" w:name="_Toc57266959"/>
      <w:bookmarkStart w:id="204" w:name="_Toc56782074"/>
      <w:bookmarkStart w:id="205" w:name="_Toc56782209"/>
      <w:bookmarkStart w:id="206" w:name="_Toc57021645"/>
      <w:bookmarkStart w:id="207" w:name="_Toc57266960"/>
      <w:bookmarkStart w:id="208" w:name="_Toc56782075"/>
      <w:bookmarkStart w:id="209" w:name="_Toc56782210"/>
      <w:bookmarkStart w:id="210" w:name="_Toc57021646"/>
      <w:bookmarkStart w:id="211" w:name="_Toc57266961"/>
      <w:bookmarkStart w:id="212" w:name="_Toc56782076"/>
      <w:bookmarkStart w:id="213" w:name="_Toc56782211"/>
      <w:bookmarkStart w:id="214" w:name="_Toc57021647"/>
      <w:bookmarkStart w:id="215" w:name="_Toc57266962"/>
      <w:bookmarkStart w:id="216" w:name="_Toc56782077"/>
      <w:bookmarkStart w:id="217" w:name="_Toc56782212"/>
      <w:bookmarkStart w:id="218" w:name="_Toc57021648"/>
      <w:bookmarkStart w:id="219" w:name="_Toc57266963"/>
      <w:bookmarkStart w:id="220" w:name="_Toc56782078"/>
      <w:bookmarkStart w:id="221" w:name="_Toc56782213"/>
      <w:bookmarkStart w:id="222" w:name="_Toc57021649"/>
      <w:bookmarkStart w:id="223" w:name="_Toc57266964"/>
      <w:bookmarkStart w:id="224" w:name="_Toc56782079"/>
      <w:bookmarkStart w:id="225" w:name="_Toc56782214"/>
      <w:bookmarkStart w:id="226" w:name="_Toc57021650"/>
      <w:bookmarkStart w:id="227" w:name="_Toc57266965"/>
      <w:bookmarkStart w:id="228" w:name="_Toc56782080"/>
      <w:bookmarkStart w:id="229" w:name="_Toc56782215"/>
      <w:bookmarkStart w:id="230" w:name="_Toc57021651"/>
      <w:bookmarkStart w:id="231" w:name="_Toc57266966"/>
      <w:bookmarkStart w:id="232" w:name="_Toc56782081"/>
      <w:bookmarkStart w:id="233" w:name="_Toc56782216"/>
      <w:bookmarkStart w:id="234" w:name="_Toc57021652"/>
      <w:bookmarkStart w:id="235" w:name="_Toc57266967"/>
      <w:bookmarkStart w:id="236" w:name="_Toc55848967"/>
      <w:bookmarkStart w:id="237" w:name="_Toc55935150"/>
      <w:bookmarkStart w:id="238" w:name="_Toc55935242"/>
      <w:bookmarkStart w:id="239" w:name="_Toc55935611"/>
      <w:bookmarkStart w:id="240" w:name="_Toc56782082"/>
      <w:bookmarkStart w:id="241" w:name="_Toc56782217"/>
      <w:bookmarkStart w:id="242" w:name="_Toc57021653"/>
      <w:bookmarkStart w:id="243" w:name="_Toc57266968"/>
      <w:bookmarkStart w:id="244" w:name="_Toc56782083"/>
      <w:bookmarkStart w:id="245" w:name="_Toc56782218"/>
      <w:bookmarkStart w:id="246" w:name="_Toc57021654"/>
      <w:bookmarkStart w:id="247" w:name="_Toc57266969"/>
      <w:bookmarkStart w:id="248" w:name="_Toc56782084"/>
      <w:bookmarkStart w:id="249" w:name="_Toc56782219"/>
      <w:bookmarkStart w:id="250" w:name="_Toc57021655"/>
      <w:bookmarkStart w:id="251" w:name="_Toc57266970"/>
      <w:bookmarkStart w:id="252" w:name="_Toc56782085"/>
      <w:bookmarkStart w:id="253" w:name="_Toc56782220"/>
      <w:bookmarkStart w:id="254" w:name="_Toc57021656"/>
      <w:bookmarkStart w:id="255" w:name="_Toc57266971"/>
      <w:bookmarkStart w:id="256" w:name="_Toc55848969"/>
      <w:bookmarkStart w:id="257" w:name="_Toc55935152"/>
      <w:bookmarkStart w:id="258" w:name="_Toc55935244"/>
      <w:bookmarkStart w:id="259" w:name="_Toc55935613"/>
      <w:bookmarkStart w:id="260" w:name="_Toc56782086"/>
      <w:bookmarkStart w:id="261" w:name="_Toc56782221"/>
      <w:bookmarkStart w:id="262" w:name="_Toc57021657"/>
      <w:bookmarkStart w:id="263" w:name="_Toc57266972"/>
      <w:bookmarkStart w:id="264" w:name="_Toc56782087"/>
      <w:bookmarkStart w:id="265" w:name="_Toc56782222"/>
      <w:bookmarkStart w:id="266" w:name="_Toc57021658"/>
      <w:bookmarkStart w:id="267" w:name="_Toc57266973"/>
      <w:bookmarkStart w:id="268" w:name="_Toc56782088"/>
      <w:bookmarkStart w:id="269" w:name="_Toc56782223"/>
      <w:bookmarkStart w:id="270" w:name="_Toc57021659"/>
      <w:bookmarkStart w:id="271" w:name="_Toc57266974"/>
      <w:bookmarkStart w:id="272" w:name="_Toc56782089"/>
      <w:bookmarkStart w:id="273" w:name="_Toc56782224"/>
      <w:bookmarkStart w:id="274" w:name="_Toc57021660"/>
      <w:bookmarkStart w:id="275" w:name="_Toc57266975"/>
      <w:bookmarkStart w:id="276" w:name="_Toc56782090"/>
      <w:bookmarkStart w:id="277" w:name="_Toc56782225"/>
      <w:bookmarkStart w:id="278" w:name="_Toc57021661"/>
      <w:bookmarkStart w:id="279" w:name="_Toc57266976"/>
      <w:bookmarkStart w:id="280" w:name="_Toc56782091"/>
      <w:bookmarkStart w:id="281" w:name="_Toc56782226"/>
      <w:bookmarkStart w:id="282" w:name="_Toc57021662"/>
      <w:bookmarkStart w:id="283" w:name="_Toc57266977"/>
      <w:bookmarkStart w:id="284" w:name="_Toc56782092"/>
      <w:bookmarkStart w:id="285" w:name="_Toc56782227"/>
      <w:bookmarkStart w:id="286" w:name="_Toc57021663"/>
      <w:bookmarkStart w:id="287" w:name="_Toc57266978"/>
      <w:bookmarkStart w:id="288" w:name="_Toc56782093"/>
      <w:bookmarkStart w:id="289" w:name="_Toc56782228"/>
      <w:bookmarkStart w:id="290" w:name="_Toc57021664"/>
      <w:bookmarkStart w:id="291" w:name="_Toc57266979"/>
      <w:bookmarkStart w:id="292" w:name="_Toc56782094"/>
      <w:bookmarkStart w:id="293" w:name="_Toc56782229"/>
      <w:bookmarkStart w:id="294" w:name="_Toc57021665"/>
      <w:bookmarkStart w:id="295" w:name="_Toc57266980"/>
      <w:bookmarkStart w:id="296" w:name="_Toc56782095"/>
      <w:bookmarkStart w:id="297" w:name="_Toc56782230"/>
      <w:bookmarkStart w:id="298" w:name="_Toc57021666"/>
      <w:bookmarkStart w:id="299" w:name="_Toc57266981"/>
      <w:bookmarkStart w:id="300" w:name="_Toc56782096"/>
      <w:bookmarkStart w:id="301" w:name="_Toc56782231"/>
      <w:bookmarkStart w:id="302" w:name="_Toc57021667"/>
      <w:bookmarkStart w:id="303" w:name="_Toc57266982"/>
      <w:bookmarkStart w:id="304" w:name="_Toc56782097"/>
      <w:bookmarkStart w:id="305" w:name="_Toc56782232"/>
      <w:bookmarkStart w:id="306" w:name="_Toc57021668"/>
      <w:bookmarkStart w:id="307" w:name="_Toc57266983"/>
      <w:bookmarkStart w:id="308" w:name="_Toc56782098"/>
      <w:bookmarkStart w:id="309" w:name="_Toc56782233"/>
      <w:bookmarkStart w:id="310" w:name="_Toc57021669"/>
      <w:bookmarkStart w:id="311" w:name="_Toc57266984"/>
      <w:bookmarkStart w:id="312" w:name="_Toc56782099"/>
      <w:bookmarkStart w:id="313" w:name="_Toc56782234"/>
      <w:bookmarkStart w:id="314" w:name="_Toc57021670"/>
      <w:bookmarkStart w:id="315" w:name="_Toc57266985"/>
      <w:bookmarkStart w:id="316" w:name="_Toc19177844"/>
      <w:bookmarkStart w:id="317" w:name="_Toc19180653"/>
      <w:bookmarkStart w:id="318" w:name="_Toc19204829"/>
      <w:bookmarkStart w:id="319" w:name="_Toc56782100"/>
      <w:bookmarkStart w:id="320" w:name="_Toc56782235"/>
      <w:bookmarkStart w:id="321" w:name="_Toc57021671"/>
      <w:bookmarkStart w:id="322" w:name="_Toc57266986"/>
      <w:bookmarkStart w:id="323" w:name="_Toc18939312"/>
      <w:bookmarkStart w:id="324" w:name="_Toc19180628"/>
      <w:bookmarkStart w:id="325" w:name="_Toc42765081"/>
      <w:bookmarkStart w:id="326" w:name="_Toc66967186"/>
      <w:bookmarkStart w:id="327" w:name="_Toc19180675"/>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r w:rsidRPr="009C1439">
        <w:t>Fault definition</w:t>
      </w:r>
      <w:bookmarkEnd w:id="323"/>
      <w:bookmarkEnd w:id="324"/>
      <w:bookmarkEnd w:id="325"/>
      <w:bookmarkEnd w:id="326"/>
    </w:p>
    <w:p w14:paraId="28008CC5" w14:textId="77777777" w:rsidR="007E2D6E" w:rsidRPr="009C1439" w:rsidRDefault="007E2D6E" w:rsidP="007E2D6E">
      <w:pPr>
        <w:pStyle w:val="Heading3Numbered"/>
      </w:pPr>
      <w:bookmarkStart w:id="328" w:name="_Toc42765082"/>
      <w:bookmarkStart w:id="329" w:name="_Toc66967187"/>
      <w:r w:rsidRPr="009C1439">
        <w:t>Definition</w:t>
      </w:r>
      <w:bookmarkEnd w:id="328"/>
      <w:bookmarkEnd w:id="329"/>
    </w:p>
    <w:p w14:paraId="38253B1B" w14:textId="714536DD" w:rsidR="007E2D6E" w:rsidRPr="0038473D" w:rsidRDefault="007E2D6E" w:rsidP="007E2D6E">
      <w:pPr>
        <w:pStyle w:val="BodyText"/>
        <w:rPr>
          <w:lang w:val="en-AU"/>
        </w:rPr>
      </w:pPr>
      <w:r w:rsidRPr="009C1439">
        <w:rPr>
          <w:lang w:val="en-AU"/>
        </w:rPr>
        <w:t>Geological faults are approximately planar discontinuity surfaces in the earth’s crust, across which a relative displacement in a direction parallel to the surface can be observed (</w:t>
      </w:r>
      <w:r w:rsidRPr="006F4023">
        <w:rPr>
          <w:lang w:val="en-AU"/>
        </w:rPr>
        <w:fldChar w:fldCharType="begin"/>
      </w:r>
      <w:r w:rsidRPr="009C1439">
        <w:rPr>
          <w:lang w:val="en-AU"/>
        </w:rPr>
        <w:instrText xml:space="preserve"> REF _Ref19477779 \h  \* MERGEFORMAT </w:instrText>
      </w:r>
      <w:r w:rsidRPr="006F4023">
        <w:rPr>
          <w:lang w:val="en-AU"/>
        </w:rPr>
      </w:r>
      <w:r w:rsidRPr="006F4023">
        <w:rPr>
          <w:lang w:val="en-AU"/>
        </w:rPr>
        <w:fldChar w:fldCharType="separate"/>
      </w:r>
      <w:r w:rsidR="00047351" w:rsidRPr="00047351">
        <w:rPr>
          <w:lang w:val="en-AU"/>
        </w:rPr>
        <w:t>Figure 4</w:t>
      </w:r>
      <w:r w:rsidRPr="006F4023">
        <w:rPr>
          <w:lang w:val="en-AU"/>
        </w:rPr>
        <w:fldChar w:fldCharType="end"/>
      </w:r>
      <w:r w:rsidRPr="006F4023">
        <w:rPr>
          <w:lang w:val="en-AU"/>
        </w:rPr>
        <w:t xml:space="preserve">). Fractures should not be confused with faults; fractures are cracks in rocks with </w:t>
      </w:r>
      <w:r w:rsidRPr="0038473D">
        <w:rPr>
          <w:lang w:val="en-AU"/>
        </w:rPr>
        <w:t xml:space="preserve">no significant measurable </w:t>
      </w:r>
      <w:proofErr w:type="gramStart"/>
      <w:r w:rsidRPr="0038473D">
        <w:rPr>
          <w:lang w:val="en-AU"/>
        </w:rPr>
        <w:t>displacement, and</w:t>
      </w:r>
      <w:proofErr w:type="gramEnd"/>
      <w:r w:rsidRPr="0038473D">
        <w:rPr>
          <w:lang w:val="en-AU"/>
        </w:rPr>
        <w:t xml:space="preserve"> can range in spacing and length from very small (mm scale) to very large (see for example Fossen 2016; Schultz and Fossen 2008). Faults often have an associated network of fractures.</w:t>
      </w:r>
    </w:p>
    <w:p w14:paraId="075956F9" w14:textId="0421E022" w:rsidR="007E2D6E" w:rsidRPr="009C1439" w:rsidRDefault="007E2D6E" w:rsidP="007E2D6E">
      <w:pPr>
        <w:pStyle w:val="BodyText"/>
        <w:rPr>
          <w:lang w:val="en-AU"/>
        </w:rPr>
      </w:pPr>
      <w:r w:rsidRPr="009C1439">
        <w:rPr>
          <w:lang w:val="en-AU"/>
        </w:rPr>
        <w:t xml:space="preserve">It is important to </w:t>
      </w:r>
      <w:r w:rsidR="001F3D89" w:rsidRPr="009C1439">
        <w:rPr>
          <w:lang w:val="en-AU"/>
        </w:rPr>
        <w:t>characterise</w:t>
      </w:r>
      <w:r w:rsidRPr="009C1439">
        <w:rPr>
          <w:lang w:val="en-AU"/>
        </w:rPr>
        <w:t xml:space="preserve"> the geometry of faults, beyond a ‘line on a map’ to a representation of the 3D displacement. The type of fault is part of a basic definition, for example a normal or reverse fault that can be readily depicted by standard geological symbols on maps of a project site. Other key features of fault architecture and anatomy, such as fault core and damage zones are also important within the </w:t>
      </w:r>
      <w:r w:rsidR="00C4692C" w:rsidRPr="009C1439">
        <w:rPr>
          <w:lang w:val="en-AU"/>
        </w:rPr>
        <w:t>characterisation</w:t>
      </w:r>
      <w:r w:rsidRPr="009C1439">
        <w:rPr>
          <w:lang w:val="en-AU"/>
        </w:rPr>
        <w:t xml:space="preserve"> process as it will relate to the flow behaviour. </w:t>
      </w:r>
    </w:p>
    <w:p w14:paraId="096A51F9" w14:textId="77777777" w:rsidR="007E2D6E" w:rsidRPr="006F4023" w:rsidRDefault="007E2D6E" w:rsidP="007E2D6E">
      <w:pPr>
        <w:keepNext/>
        <w:ind w:left="1440"/>
      </w:pPr>
      <w:r w:rsidRPr="006F4023">
        <w:rPr>
          <w:noProof/>
          <w:lang w:eastAsia="en-AU"/>
        </w:rPr>
        <mc:AlternateContent>
          <mc:Choice Requires="wps">
            <w:drawing>
              <wp:anchor distT="0" distB="0" distL="114300" distR="114300" simplePos="0" relativeHeight="251660291" behindDoc="0" locked="0" layoutInCell="1" allowOverlap="1" wp14:anchorId="379FE06B" wp14:editId="322E5361">
                <wp:simplePos x="0" y="0"/>
                <wp:positionH relativeFrom="column">
                  <wp:posOffset>2139981</wp:posOffset>
                </wp:positionH>
                <wp:positionV relativeFrom="paragraph">
                  <wp:posOffset>214615</wp:posOffset>
                </wp:positionV>
                <wp:extent cx="439419" cy="217424"/>
                <wp:effectExtent l="0" t="0" r="0" b="0"/>
                <wp:wrapNone/>
                <wp:docPr id="2047755144"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617947">
                          <a:off x="0" y="0"/>
                          <a:ext cx="439419" cy="217424"/>
                        </a:xfrm>
                        <a:prstGeom prst="rect">
                          <a:avLst/>
                        </a:prstGeom>
                        <a:noFill/>
                        <a:ln w="9525">
                          <a:noFill/>
                          <a:miter lim="800000"/>
                          <a:headEnd/>
                          <a:tailEnd/>
                        </a:ln>
                        <a:effectLst/>
                      </wps:spPr>
                      <wps:txbx>
                        <w:txbxContent>
                          <w:p w14:paraId="11C13FCF" w14:textId="77777777" w:rsidR="005863E1" w:rsidRPr="00951D10" w:rsidRDefault="005863E1" w:rsidP="007E2D6E">
                            <w:pPr>
                              <w:textAlignment w:val="baselin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olor w:val="000000" w:themeColor="text1"/>
                                <w:kern w:val="24"/>
                                <w:sz w:val="14"/>
                                <w:szCs w:val="1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Heave</w:t>
                            </w:r>
                          </w:p>
                        </w:txbxContent>
                      </wps:txbx>
                      <wps:bodyPr wrap="none">
                        <a:prstTxWarp prst="textNoShape">
                          <a:avLst/>
                        </a:prstTxWarp>
                        <a:spAutoFit/>
                      </wps:bodyPr>
                    </wps:wsp>
                  </a:graphicData>
                </a:graphic>
              </wp:anchor>
            </w:drawing>
          </mc:Choice>
          <mc:Fallback>
            <w:pict>
              <v:shape w14:anchorId="379FE06B" id="Text Box 320" o:spid="_x0000_s1076" type="#_x0000_t202" style="position:absolute;left:0;text-align:left;margin-left:168.5pt;margin-top:16.9pt;width:34.6pt;height:17.1pt;rotation:674963fd;z-index:25166029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" filled="f" stroked="f">
                <v:textbox style="mso-fit-shape-to-text:t">
                  <w:txbxContent>
                    <w:p w14:paraId="11C13FCF" w14:textId="77777777" w:rsidR="005863E1" w:rsidRPr="00951D10" w:rsidRDefault="005863E1" w:rsidP="007E2D6E">
                      <w:pPr>
                        <w:textAlignment w:val="baselin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olor w:val="000000" w:themeColor="text1"/>
                          <w:kern w:val="24"/>
                          <w:sz w:val="14"/>
                          <w:szCs w:val="1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Heave</w:t>
                      </w:r>
                    </w:p>
                  </w:txbxContent>
                </v:textbox>
              </v:shape>
            </w:pict>
          </mc:Fallback>
        </mc:AlternateContent>
      </w:r>
      <w:r w:rsidRPr="006F4023">
        <w:rPr>
          <w:noProof/>
          <w:lang w:eastAsia="en-AU"/>
        </w:rPr>
        <mc:AlternateContent>
          <mc:Choice Requires="wpg">
            <w:drawing>
              <wp:inline distT="0" distB="0" distL="0" distR="0" wp14:anchorId="114766BE" wp14:editId="71FA200F">
                <wp:extent cx="3822022" cy="2112376"/>
                <wp:effectExtent l="0" t="0" r="26670" b="21590"/>
                <wp:docPr id="2" name="Group 2"/>
                <wp:cNvGraphicFramePr/>
                <a:graphic xmlns:a="http://schemas.openxmlformats.org/drawingml/2006/main">
                  <a:graphicData uri="http://schemas.microsoft.com/office/word/2010/wordprocessingGroup">
                    <wpg:wgp>
                      <wpg:cNvGrpSpPr/>
                      <wpg:grpSpPr>
                        <a:xfrm>
                          <a:off x="0" y="0"/>
                          <a:ext cx="3822022" cy="2112376"/>
                          <a:chOff x="495581" y="0"/>
                          <a:chExt cx="8285834" cy="4579918"/>
                        </a:xfrm>
                      </wpg:grpSpPr>
                      <wps:wsp>
                        <wps:cNvPr id="5" name="Freeform 5"/>
                        <wps:cNvSpPr>
                          <a:spLocks/>
                        </wps:cNvSpPr>
                        <wps:spPr bwMode="auto">
                          <a:xfrm>
                            <a:off x="495582" y="477837"/>
                            <a:ext cx="1718071" cy="692150"/>
                          </a:xfrm>
                          <a:custGeom>
                            <a:avLst/>
                            <a:gdLst/>
                            <a:ahLst/>
                            <a:cxnLst>
                              <a:cxn ang="0">
                                <a:pos x="220" y="0"/>
                              </a:cxn>
                              <a:cxn ang="0">
                                <a:pos x="2556" y="933"/>
                              </a:cxn>
                              <a:cxn ang="0">
                                <a:pos x="2357" y="972"/>
                              </a:cxn>
                              <a:cxn ang="0">
                                <a:pos x="0" y="31"/>
                              </a:cxn>
                              <a:cxn ang="0">
                                <a:pos x="220" y="0"/>
                              </a:cxn>
                            </a:cxnLst>
                            <a:rect l="0" t="0" r="r" b="b"/>
                            <a:pathLst>
                              <a:path w="2556" h="972">
                                <a:moveTo>
                                  <a:pt x="220" y="0"/>
                                </a:moveTo>
                                <a:lnTo>
                                  <a:pt x="2556" y="933"/>
                                </a:lnTo>
                                <a:lnTo>
                                  <a:pt x="2357" y="972"/>
                                </a:lnTo>
                                <a:lnTo>
                                  <a:pt x="0" y="31"/>
                                </a:lnTo>
                                <a:lnTo>
                                  <a:pt x="220" y="0"/>
                                </a:lnTo>
                                <a:close/>
                              </a:path>
                            </a:pathLst>
                          </a:custGeom>
                          <a:solidFill>
                            <a:srgbClr val="A2A1A0"/>
                          </a:solidFill>
                          <a:ln w="9525">
                            <a:noFill/>
                            <a:round/>
                            <a:headEnd/>
                            <a:tailEnd/>
                          </a:ln>
                        </wps:spPr>
                        <wps:bodyPr>
                          <a:prstTxWarp prst="textNoShape">
                            <a:avLst/>
                          </a:prstTxWarp>
                        </wps:bodyPr>
                      </wps:wsp>
                      <wps:wsp>
                        <wps:cNvPr id="6" name="Freeform 6"/>
                        <wps:cNvSpPr>
                          <a:spLocks/>
                        </wps:cNvSpPr>
                        <wps:spPr bwMode="auto">
                          <a:xfrm>
                            <a:off x="533417" y="463551"/>
                            <a:ext cx="1781704" cy="700087"/>
                          </a:xfrm>
                          <a:custGeom>
                            <a:avLst/>
                            <a:gdLst/>
                            <a:ahLst/>
                            <a:cxnLst>
                              <a:cxn ang="0">
                                <a:pos x="2352" y="985"/>
                              </a:cxn>
                              <a:cxn ang="0">
                                <a:pos x="0" y="46"/>
                              </a:cxn>
                              <a:cxn ang="0">
                                <a:pos x="327" y="0"/>
                              </a:cxn>
                              <a:cxn ang="0">
                                <a:pos x="2649" y="926"/>
                              </a:cxn>
                              <a:cxn ang="0">
                                <a:pos x="2352" y="985"/>
                              </a:cxn>
                            </a:cxnLst>
                            <a:rect l="0" t="0" r="r" b="b"/>
                            <a:pathLst>
                              <a:path w="2649" h="985">
                                <a:moveTo>
                                  <a:pt x="2352" y="985"/>
                                </a:moveTo>
                                <a:lnTo>
                                  <a:pt x="0" y="46"/>
                                </a:lnTo>
                                <a:lnTo>
                                  <a:pt x="327" y="0"/>
                                </a:lnTo>
                                <a:lnTo>
                                  <a:pt x="2649" y="926"/>
                                </a:lnTo>
                                <a:lnTo>
                                  <a:pt x="2352" y="985"/>
                                </a:lnTo>
                                <a:close/>
                              </a:path>
                            </a:pathLst>
                          </a:custGeom>
                          <a:solidFill>
                            <a:srgbClr val="A1A09F"/>
                          </a:solidFill>
                          <a:ln w="9525">
                            <a:noFill/>
                            <a:round/>
                            <a:headEnd/>
                            <a:tailEnd/>
                          </a:ln>
                        </wps:spPr>
                        <wps:bodyPr>
                          <a:prstTxWarp prst="textNoShape">
                            <a:avLst/>
                          </a:prstTxWarp>
                        </wps:bodyPr>
                      </wps:wsp>
                      <wps:wsp>
                        <wps:cNvPr id="7" name="Freeform 7"/>
                        <wps:cNvSpPr>
                          <a:spLocks/>
                        </wps:cNvSpPr>
                        <wps:spPr bwMode="auto">
                          <a:xfrm>
                            <a:off x="645203" y="446088"/>
                            <a:ext cx="1767946" cy="695325"/>
                          </a:xfrm>
                          <a:custGeom>
                            <a:avLst/>
                            <a:gdLst/>
                            <a:ahLst/>
                            <a:cxnLst>
                              <a:cxn ang="0">
                                <a:pos x="2336" y="979"/>
                              </a:cxn>
                              <a:cxn ang="0">
                                <a:pos x="0" y="46"/>
                              </a:cxn>
                              <a:cxn ang="0">
                                <a:pos x="327" y="0"/>
                              </a:cxn>
                              <a:cxn ang="0">
                                <a:pos x="2633" y="921"/>
                              </a:cxn>
                              <a:cxn ang="0">
                                <a:pos x="2336" y="979"/>
                              </a:cxn>
                            </a:cxnLst>
                            <a:rect l="0" t="0" r="r" b="b"/>
                            <a:pathLst>
                              <a:path w="2633" h="979">
                                <a:moveTo>
                                  <a:pt x="2336" y="979"/>
                                </a:moveTo>
                                <a:lnTo>
                                  <a:pt x="0" y="46"/>
                                </a:lnTo>
                                <a:lnTo>
                                  <a:pt x="327" y="0"/>
                                </a:lnTo>
                                <a:lnTo>
                                  <a:pt x="2633" y="921"/>
                                </a:lnTo>
                                <a:lnTo>
                                  <a:pt x="2336" y="979"/>
                                </a:lnTo>
                                <a:close/>
                              </a:path>
                            </a:pathLst>
                          </a:custGeom>
                          <a:solidFill>
                            <a:srgbClr val="A09F9F"/>
                          </a:solidFill>
                          <a:ln w="9525">
                            <a:noFill/>
                            <a:round/>
                            <a:headEnd/>
                            <a:tailEnd/>
                          </a:ln>
                        </wps:spPr>
                        <wps:bodyPr>
                          <a:prstTxWarp prst="textNoShape">
                            <a:avLst/>
                          </a:prstTxWarp>
                        </wps:bodyPr>
                      </wps:wsp>
                      <wps:wsp>
                        <wps:cNvPr id="11" name="Freeform 11"/>
                        <wps:cNvSpPr>
                          <a:spLocks/>
                        </wps:cNvSpPr>
                        <wps:spPr bwMode="auto">
                          <a:xfrm>
                            <a:off x="753550" y="428625"/>
                            <a:ext cx="1761067" cy="692150"/>
                          </a:xfrm>
                          <a:custGeom>
                            <a:avLst/>
                            <a:gdLst/>
                            <a:ahLst/>
                            <a:cxnLst>
                              <a:cxn ang="0">
                                <a:pos x="2322" y="972"/>
                              </a:cxn>
                              <a:cxn ang="0">
                                <a:pos x="0" y="46"/>
                              </a:cxn>
                              <a:cxn ang="0">
                                <a:pos x="329" y="0"/>
                              </a:cxn>
                              <a:cxn ang="0">
                                <a:pos x="2619" y="915"/>
                              </a:cxn>
                              <a:cxn ang="0">
                                <a:pos x="2322" y="972"/>
                              </a:cxn>
                            </a:cxnLst>
                            <a:rect l="0" t="0" r="r" b="b"/>
                            <a:pathLst>
                              <a:path w="2619" h="972">
                                <a:moveTo>
                                  <a:pt x="2322" y="972"/>
                                </a:moveTo>
                                <a:lnTo>
                                  <a:pt x="0" y="46"/>
                                </a:lnTo>
                                <a:lnTo>
                                  <a:pt x="329" y="0"/>
                                </a:lnTo>
                                <a:lnTo>
                                  <a:pt x="2619" y="915"/>
                                </a:lnTo>
                                <a:lnTo>
                                  <a:pt x="2322" y="972"/>
                                </a:lnTo>
                                <a:close/>
                              </a:path>
                            </a:pathLst>
                          </a:custGeom>
                          <a:solidFill>
                            <a:srgbClr val="9F9E9E"/>
                          </a:solidFill>
                          <a:ln w="9525">
                            <a:noFill/>
                            <a:round/>
                            <a:headEnd/>
                            <a:tailEnd/>
                          </a:ln>
                        </wps:spPr>
                        <wps:bodyPr>
                          <a:prstTxWarp prst="textNoShape">
                            <a:avLst/>
                          </a:prstTxWarp>
                        </wps:bodyPr>
                      </wps:wsp>
                      <wps:wsp>
                        <wps:cNvPr id="12" name="Freeform 12"/>
                        <wps:cNvSpPr>
                          <a:spLocks/>
                        </wps:cNvSpPr>
                        <wps:spPr bwMode="auto">
                          <a:xfrm>
                            <a:off x="865336" y="414337"/>
                            <a:ext cx="1749029" cy="687388"/>
                          </a:xfrm>
                          <a:custGeom>
                            <a:avLst/>
                            <a:gdLst/>
                            <a:ahLst/>
                            <a:cxnLst>
                              <a:cxn ang="0">
                                <a:pos x="2306" y="966"/>
                              </a:cxn>
                              <a:cxn ang="0">
                                <a:pos x="0" y="45"/>
                              </a:cxn>
                              <a:cxn ang="0">
                                <a:pos x="328" y="0"/>
                              </a:cxn>
                              <a:cxn ang="0">
                                <a:pos x="2604" y="909"/>
                              </a:cxn>
                              <a:cxn ang="0">
                                <a:pos x="2306" y="966"/>
                              </a:cxn>
                            </a:cxnLst>
                            <a:rect l="0" t="0" r="r" b="b"/>
                            <a:pathLst>
                              <a:path w="2604" h="966">
                                <a:moveTo>
                                  <a:pt x="2306" y="966"/>
                                </a:moveTo>
                                <a:lnTo>
                                  <a:pt x="0" y="45"/>
                                </a:lnTo>
                                <a:lnTo>
                                  <a:pt x="328" y="0"/>
                                </a:lnTo>
                                <a:lnTo>
                                  <a:pt x="2604" y="909"/>
                                </a:lnTo>
                                <a:lnTo>
                                  <a:pt x="2306" y="966"/>
                                </a:lnTo>
                                <a:close/>
                              </a:path>
                            </a:pathLst>
                          </a:custGeom>
                          <a:solidFill>
                            <a:srgbClr val="9F9E9D"/>
                          </a:solidFill>
                          <a:ln w="9525">
                            <a:noFill/>
                            <a:round/>
                            <a:headEnd/>
                            <a:tailEnd/>
                          </a:ln>
                        </wps:spPr>
                        <wps:bodyPr>
                          <a:prstTxWarp prst="textNoShape">
                            <a:avLst/>
                          </a:prstTxWarp>
                        </wps:bodyPr>
                      </wps:wsp>
                      <wps:wsp>
                        <wps:cNvPr id="13" name="Freeform 13"/>
                        <wps:cNvSpPr>
                          <a:spLocks/>
                        </wps:cNvSpPr>
                        <wps:spPr bwMode="auto">
                          <a:xfrm>
                            <a:off x="975403" y="396876"/>
                            <a:ext cx="1738710" cy="682625"/>
                          </a:xfrm>
                          <a:custGeom>
                            <a:avLst/>
                            <a:gdLst/>
                            <a:ahLst/>
                            <a:cxnLst>
                              <a:cxn ang="0">
                                <a:pos x="2290" y="960"/>
                              </a:cxn>
                              <a:cxn ang="0">
                                <a:pos x="0" y="45"/>
                              </a:cxn>
                              <a:cxn ang="0">
                                <a:pos x="327" y="0"/>
                              </a:cxn>
                              <a:cxn ang="0">
                                <a:pos x="2588" y="902"/>
                              </a:cxn>
                              <a:cxn ang="0">
                                <a:pos x="2290" y="960"/>
                              </a:cxn>
                            </a:cxnLst>
                            <a:rect l="0" t="0" r="r" b="b"/>
                            <a:pathLst>
                              <a:path w="2588" h="960">
                                <a:moveTo>
                                  <a:pt x="2290" y="960"/>
                                </a:moveTo>
                                <a:lnTo>
                                  <a:pt x="0" y="45"/>
                                </a:lnTo>
                                <a:lnTo>
                                  <a:pt x="327" y="0"/>
                                </a:lnTo>
                                <a:lnTo>
                                  <a:pt x="2588" y="902"/>
                                </a:lnTo>
                                <a:lnTo>
                                  <a:pt x="2290" y="960"/>
                                </a:lnTo>
                                <a:close/>
                              </a:path>
                            </a:pathLst>
                          </a:custGeom>
                          <a:solidFill>
                            <a:srgbClr val="9E9D9C"/>
                          </a:solidFill>
                          <a:ln w="9525">
                            <a:noFill/>
                            <a:round/>
                            <a:headEnd/>
                            <a:tailEnd/>
                          </a:ln>
                        </wps:spPr>
                        <wps:bodyPr>
                          <a:prstTxWarp prst="textNoShape">
                            <a:avLst/>
                          </a:prstTxWarp>
                        </wps:bodyPr>
                      </wps:wsp>
                      <wps:wsp>
                        <wps:cNvPr id="14" name="Freeform 14"/>
                        <wps:cNvSpPr>
                          <a:spLocks/>
                        </wps:cNvSpPr>
                        <wps:spPr bwMode="auto">
                          <a:xfrm>
                            <a:off x="1083751" y="382588"/>
                            <a:ext cx="1730110" cy="677863"/>
                          </a:xfrm>
                          <a:custGeom>
                            <a:avLst/>
                            <a:gdLst/>
                            <a:ahLst/>
                            <a:cxnLst>
                              <a:cxn ang="0">
                                <a:pos x="2276" y="955"/>
                              </a:cxn>
                              <a:cxn ang="0">
                                <a:pos x="0" y="46"/>
                              </a:cxn>
                              <a:cxn ang="0">
                                <a:pos x="328" y="0"/>
                              </a:cxn>
                              <a:cxn ang="0">
                                <a:pos x="2574" y="897"/>
                              </a:cxn>
                              <a:cxn ang="0">
                                <a:pos x="2276" y="955"/>
                              </a:cxn>
                            </a:cxnLst>
                            <a:rect l="0" t="0" r="r" b="b"/>
                            <a:pathLst>
                              <a:path w="2574" h="955">
                                <a:moveTo>
                                  <a:pt x="2276" y="955"/>
                                </a:moveTo>
                                <a:lnTo>
                                  <a:pt x="0" y="46"/>
                                </a:lnTo>
                                <a:lnTo>
                                  <a:pt x="328" y="0"/>
                                </a:lnTo>
                                <a:lnTo>
                                  <a:pt x="2574" y="897"/>
                                </a:lnTo>
                                <a:lnTo>
                                  <a:pt x="2276" y="955"/>
                                </a:lnTo>
                                <a:close/>
                              </a:path>
                            </a:pathLst>
                          </a:custGeom>
                          <a:solidFill>
                            <a:srgbClr val="9D9C9B"/>
                          </a:solidFill>
                          <a:ln w="9525">
                            <a:noFill/>
                            <a:round/>
                            <a:headEnd/>
                            <a:tailEnd/>
                          </a:ln>
                        </wps:spPr>
                        <wps:bodyPr>
                          <a:prstTxWarp prst="textNoShape">
                            <a:avLst/>
                          </a:prstTxWarp>
                        </wps:bodyPr>
                      </wps:wsp>
                      <wps:wsp>
                        <wps:cNvPr id="15" name="Freeform 15"/>
                        <wps:cNvSpPr>
                          <a:spLocks/>
                        </wps:cNvSpPr>
                        <wps:spPr bwMode="auto">
                          <a:xfrm>
                            <a:off x="1195537" y="365126"/>
                            <a:ext cx="1718072" cy="674687"/>
                          </a:xfrm>
                          <a:custGeom>
                            <a:avLst/>
                            <a:gdLst/>
                            <a:ahLst/>
                            <a:cxnLst>
                              <a:cxn ang="0">
                                <a:pos x="2261" y="948"/>
                              </a:cxn>
                              <a:cxn ang="0">
                                <a:pos x="0" y="46"/>
                              </a:cxn>
                              <a:cxn ang="0">
                                <a:pos x="329" y="0"/>
                              </a:cxn>
                              <a:cxn ang="0">
                                <a:pos x="2557" y="891"/>
                              </a:cxn>
                              <a:cxn ang="0">
                                <a:pos x="2261" y="948"/>
                              </a:cxn>
                            </a:cxnLst>
                            <a:rect l="0" t="0" r="r" b="b"/>
                            <a:pathLst>
                              <a:path w="2557" h="948">
                                <a:moveTo>
                                  <a:pt x="2261" y="948"/>
                                </a:moveTo>
                                <a:lnTo>
                                  <a:pt x="0" y="46"/>
                                </a:lnTo>
                                <a:lnTo>
                                  <a:pt x="329" y="0"/>
                                </a:lnTo>
                                <a:lnTo>
                                  <a:pt x="2557" y="891"/>
                                </a:lnTo>
                                <a:lnTo>
                                  <a:pt x="2261" y="948"/>
                                </a:lnTo>
                                <a:close/>
                              </a:path>
                            </a:pathLst>
                          </a:custGeom>
                          <a:solidFill>
                            <a:srgbClr val="9C9B9B"/>
                          </a:solidFill>
                          <a:ln w="9525">
                            <a:noFill/>
                            <a:round/>
                            <a:headEnd/>
                            <a:tailEnd/>
                          </a:ln>
                        </wps:spPr>
                        <wps:bodyPr>
                          <a:prstTxWarp prst="textNoShape">
                            <a:avLst/>
                          </a:prstTxWarp>
                        </wps:bodyPr>
                      </wps:wsp>
                      <wps:wsp>
                        <wps:cNvPr id="16" name="Freeform 16"/>
                        <wps:cNvSpPr>
                          <a:spLocks/>
                        </wps:cNvSpPr>
                        <wps:spPr bwMode="auto">
                          <a:xfrm>
                            <a:off x="1303884" y="347663"/>
                            <a:ext cx="1711192" cy="671513"/>
                          </a:xfrm>
                          <a:custGeom>
                            <a:avLst/>
                            <a:gdLst/>
                            <a:ahLst/>
                            <a:cxnLst>
                              <a:cxn ang="0">
                                <a:pos x="2246" y="943"/>
                              </a:cxn>
                              <a:cxn ang="0">
                                <a:pos x="0" y="46"/>
                              </a:cxn>
                              <a:cxn ang="0">
                                <a:pos x="328" y="0"/>
                              </a:cxn>
                              <a:cxn ang="0">
                                <a:pos x="2542" y="884"/>
                              </a:cxn>
                              <a:cxn ang="0">
                                <a:pos x="2246" y="943"/>
                              </a:cxn>
                            </a:cxnLst>
                            <a:rect l="0" t="0" r="r" b="b"/>
                            <a:pathLst>
                              <a:path w="2542" h="943">
                                <a:moveTo>
                                  <a:pt x="2246" y="943"/>
                                </a:moveTo>
                                <a:lnTo>
                                  <a:pt x="0" y="46"/>
                                </a:lnTo>
                                <a:lnTo>
                                  <a:pt x="328" y="0"/>
                                </a:lnTo>
                                <a:lnTo>
                                  <a:pt x="2542" y="884"/>
                                </a:lnTo>
                                <a:lnTo>
                                  <a:pt x="2246" y="943"/>
                                </a:lnTo>
                                <a:close/>
                              </a:path>
                            </a:pathLst>
                          </a:custGeom>
                          <a:solidFill>
                            <a:srgbClr val="9B9A9A"/>
                          </a:solidFill>
                          <a:ln w="9525">
                            <a:noFill/>
                            <a:round/>
                            <a:headEnd/>
                            <a:tailEnd/>
                          </a:ln>
                        </wps:spPr>
                        <wps:bodyPr>
                          <a:prstTxWarp prst="textNoShape">
                            <a:avLst/>
                          </a:prstTxWarp>
                        </wps:bodyPr>
                      </wps:wsp>
                      <wps:wsp>
                        <wps:cNvPr id="28" name="Freeform 17"/>
                        <wps:cNvSpPr>
                          <a:spLocks/>
                        </wps:cNvSpPr>
                        <wps:spPr bwMode="auto">
                          <a:xfrm>
                            <a:off x="1415670" y="333375"/>
                            <a:ext cx="1697435" cy="665162"/>
                          </a:xfrm>
                          <a:custGeom>
                            <a:avLst/>
                            <a:gdLst/>
                            <a:ahLst/>
                            <a:cxnLst>
                              <a:cxn ang="0">
                                <a:pos x="2228" y="936"/>
                              </a:cxn>
                              <a:cxn ang="0">
                                <a:pos x="0" y="45"/>
                              </a:cxn>
                              <a:cxn ang="0">
                                <a:pos x="327" y="0"/>
                              </a:cxn>
                              <a:cxn ang="0">
                                <a:pos x="2526" y="878"/>
                              </a:cxn>
                              <a:cxn ang="0">
                                <a:pos x="2228" y="936"/>
                              </a:cxn>
                            </a:cxnLst>
                            <a:rect l="0" t="0" r="r" b="b"/>
                            <a:pathLst>
                              <a:path w="2526" h="936">
                                <a:moveTo>
                                  <a:pt x="2228" y="936"/>
                                </a:moveTo>
                                <a:lnTo>
                                  <a:pt x="0" y="45"/>
                                </a:lnTo>
                                <a:lnTo>
                                  <a:pt x="327" y="0"/>
                                </a:lnTo>
                                <a:lnTo>
                                  <a:pt x="2526" y="878"/>
                                </a:lnTo>
                                <a:lnTo>
                                  <a:pt x="2228" y="936"/>
                                </a:lnTo>
                                <a:close/>
                              </a:path>
                            </a:pathLst>
                          </a:custGeom>
                          <a:solidFill>
                            <a:srgbClr val="9B9A99"/>
                          </a:solidFill>
                          <a:ln w="9525">
                            <a:noFill/>
                            <a:round/>
                            <a:headEnd/>
                            <a:tailEnd/>
                          </a:ln>
                        </wps:spPr>
                        <wps:bodyPr>
                          <a:prstTxWarp prst="textNoShape">
                            <a:avLst/>
                          </a:prstTxWarp>
                        </wps:bodyPr>
                      </wps:wsp>
                      <wps:wsp>
                        <wps:cNvPr id="31" name="Freeform 18"/>
                        <wps:cNvSpPr>
                          <a:spLocks/>
                        </wps:cNvSpPr>
                        <wps:spPr bwMode="auto">
                          <a:xfrm>
                            <a:off x="1525737" y="315912"/>
                            <a:ext cx="1688835" cy="661988"/>
                          </a:xfrm>
                          <a:custGeom>
                            <a:avLst/>
                            <a:gdLst/>
                            <a:ahLst/>
                            <a:cxnLst>
                              <a:cxn ang="0">
                                <a:pos x="2214" y="929"/>
                              </a:cxn>
                              <a:cxn ang="0">
                                <a:pos x="0" y="45"/>
                              </a:cxn>
                              <a:cxn ang="0">
                                <a:pos x="327" y="0"/>
                              </a:cxn>
                              <a:cxn ang="0">
                                <a:pos x="2512" y="871"/>
                              </a:cxn>
                              <a:cxn ang="0">
                                <a:pos x="2214" y="929"/>
                              </a:cxn>
                            </a:cxnLst>
                            <a:rect l="0" t="0" r="r" b="b"/>
                            <a:pathLst>
                              <a:path w="2512" h="929">
                                <a:moveTo>
                                  <a:pt x="2214" y="929"/>
                                </a:moveTo>
                                <a:lnTo>
                                  <a:pt x="0" y="45"/>
                                </a:lnTo>
                                <a:lnTo>
                                  <a:pt x="327" y="0"/>
                                </a:lnTo>
                                <a:lnTo>
                                  <a:pt x="2512" y="871"/>
                                </a:lnTo>
                                <a:lnTo>
                                  <a:pt x="2214" y="929"/>
                                </a:lnTo>
                                <a:close/>
                              </a:path>
                            </a:pathLst>
                          </a:custGeom>
                          <a:solidFill>
                            <a:srgbClr val="9A9998"/>
                          </a:solidFill>
                          <a:ln w="9525">
                            <a:noFill/>
                            <a:round/>
                            <a:headEnd/>
                            <a:tailEnd/>
                          </a:ln>
                        </wps:spPr>
                        <wps:bodyPr>
                          <a:prstTxWarp prst="textNoShape">
                            <a:avLst/>
                          </a:prstTxWarp>
                        </wps:bodyPr>
                      </wps:wsp>
                      <wps:wsp>
                        <wps:cNvPr id="2047755136" name="Freeform 28"/>
                        <wps:cNvSpPr>
                          <a:spLocks/>
                        </wps:cNvSpPr>
                        <wps:spPr bwMode="auto">
                          <a:xfrm>
                            <a:off x="1635803" y="301626"/>
                            <a:ext cx="1678517" cy="657225"/>
                          </a:xfrm>
                          <a:custGeom>
                            <a:avLst/>
                            <a:gdLst/>
                            <a:ahLst/>
                            <a:cxnLst>
                              <a:cxn ang="0">
                                <a:pos x="2199" y="924"/>
                              </a:cxn>
                              <a:cxn ang="0">
                                <a:pos x="0" y="46"/>
                              </a:cxn>
                              <a:cxn ang="0">
                                <a:pos x="328" y="0"/>
                              </a:cxn>
                              <a:cxn ang="0">
                                <a:pos x="2497" y="866"/>
                              </a:cxn>
                              <a:cxn ang="0">
                                <a:pos x="2199" y="924"/>
                              </a:cxn>
                            </a:cxnLst>
                            <a:rect l="0" t="0" r="r" b="b"/>
                            <a:pathLst>
                              <a:path w="2497" h="924">
                                <a:moveTo>
                                  <a:pt x="2199" y="924"/>
                                </a:moveTo>
                                <a:lnTo>
                                  <a:pt x="0" y="46"/>
                                </a:lnTo>
                                <a:lnTo>
                                  <a:pt x="328" y="0"/>
                                </a:lnTo>
                                <a:lnTo>
                                  <a:pt x="2497" y="866"/>
                                </a:lnTo>
                                <a:lnTo>
                                  <a:pt x="2199" y="924"/>
                                </a:lnTo>
                                <a:close/>
                              </a:path>
                            </a:pathLst>
                          </a:custGeom>
                          <a:solidFill>
                            <a:srgbClr val="999897"/>
                          </a:solidFill>
                          <a:ln w="9525">
                            <a:noFill/>
                            <a:round/>
                            <a:headEnd/>
                            <a:tailEnd/>
                          </a:ln>
                        </wps:spPr>
                        <wps:bodyPr>
                          <a:prstTxWarp prst="textNoShape">
                            <a:avLst/>
                          </a:prstTxWarp>
                        </wps:bodyPr>
                      </wps:wsp>
                      <wps:wsp>
                        <wps:cNvPr id="2047755137" name="Freeform 30"/>
                        <wps:cNvSpPr>
                          <a:spLocks/>
                        </wps:cNvSpPr>
                        <wps:spPr bwMode="auto">
                          <a:xfrm>
                            <a:off x="1745870" y="284163"/>
                            <a:ext cx="1668198" cy="652463"/>
                          </a:xfrm>
                          <a:custGeom>
                            <a:avLst/>
                            <a:gdLst/>
                            <a:ahLst/>
                            <a:cxnLst>
                              <a:cxn ang="0">
                                <a:pos x="2185" y="917"/>
                              </a:cxn>
                              <a:cxn ang="0">
                                <a:pos x="0" y="46"/>
                              </a:cxn>
                              <a:cxn ang="0">
                                <a:pos x="329" y="0"/>
                              </a:cxn>
                              <a:cxn ang="0">
                                <a:pos x="2483" y="860"/>
                              </a:cxn>
                              <a:cxn ang="0">
                                <a:pos x="2185" y="917"/>
                              </a:cxn>
                            </a:cxnLst>
                            <a:rect l="0" t="0" r="r" b="b"/>
                            <a:pathLst>
                              <a:path w="2483" h="917">
                                <a:moveTo>
                                  <a:pt x="2185" y="917"/>
                                </a:moveTo>
                                <a:lnTo>
                                  <a:pt x="0" y="46"/>
                                </a:lnTo>
                                <a:lnTo>
                                  <a:pt x="329" y="0"/>
                                </a:lnTo>
                                <a:lnTo>
                                  <a:pt x="2483" y="860"/>
                                </a:lnTo>
                                <a:lnTo>
                                  <a:pt x="2185" y="917"/>
                                </a:lnTo>
                                <a:close/>
                              </a:path>
                            </a:pathLst>
                          </a:custGeom>
                          <a:solidFill>
                            <a:srgbClr val="989797"/>
                          </a:solidFill>
                          <a:ln w="9525">
                            <a:noFill/>
                            <a:round/>
                            <a:headEnd/>
                            <a:tailEnd/>
                          </a:ln>
                        </wps:spPr>
                        <wps:bodyPr>
                          <a:prstTxWarp prst="textNoShape">
                            <a:avLst/>
                          </a:prstTxWarp>
                        </wps:bodyPr>
                      </wps:wsp>
                      <wps:wsp>
                        <wps:cNvPr id="2047755138" name="Freeform 31"/>
                        <wps:cNvSpPr>
                          <a:spLocks/>
                        </wps:cNvSpPr>
                        <wps:spPr bwMode="auto">
                          <a:xfrm>
                            <a:off x="1855937" y="266701"/>
                            <a:ext cx="1656160" cy="649287"/>
                          </a:xfrm>
                          <a:custGeom>
                            <a:avLst/>
                            <a:gdLst/>
                            <a:ahLst/>
                            <a:cxnLst>
                              <a:cxn ang="0">
                                <a:pos x="2169" y="912"/>
                              </a:cxn>
                              <a:cxn ang="0">
                                <a:pos x="0" y="46"/>
                              </a:cxn>
                              <a:cxn ang="0">
                                <a:pos x="327" y="0"/>
                              </a:cxn>
                              <a:cxn ang="0">
                                <a:pos x="2465" y="855"/>
                              </a:cxn>
                              <a:cxn ang="0">
                                <a:pos x="2169" y="912"/>
                              </a:cxn>
                            </a:cxnLst>
                            <a:rect l="0" t="0" r="r" b="b"/>
                            <a:pathLst>
                              <a:path w="2465" h="912">
                                <a:moveTo>
                                  <a:pt x="2169" y="912"/>
                                </a:moveTo>
                                <a:lnTo>
                                  <a:pt x="0" y="46"/>
                                </a:lnTo>
                                <a:lnTo>
                                  <a:pt x="327" y="0"/>
                                </a:lnTo>
                                <a:lnTo>
                                  <a:pt x="2465" y="855"/>
                                </a:lnTo>
                                <a:lnTo>
                                  <a:pt x="2169" y="912"/>
                                </a:lnTo>
                                <a:close/>
                              </a:path>
                            </a:pathLst>
                          </a:custGeom>
                          <a:solidFill>
                            <a:srgbClr val="979696"/>
                          </a:solidFill>
                          <a:ln w="9525">
                            <a:noFill/>
                            <a:round/>
                            <a:headEnd/>
                            <a:tailEnd/>
                          </a:ln>
                        </wps:spPr>
                        <wps:bodyPr>
                          <a:prstTxWarp prst="textNoShape">
                            <a:avLst/>
                          </a:prstTxWarp>
                        </wps:bodyPr>
                      </wps:wsp>
                      <wps:wsp>
                        <wps:cNvPr id="2047755139" name="Freeform 32"/>
                        <wps:cNvSpPr>
                          <a:spLocks/>
                        </wps:cNvSpPr>
                        <wps:spPr bwMode="auto">
                          <a:xfrm>
                            <a:off x="1966004" y="252413"/>
                            <a:ext cx="1647560" cy="644525"/>
                          </a:xfrm>
                          <a:custGeom>
                            <a:avLst/>
                            <a:gdLst/>
                            <a:ahLst/>
                            <a:cxnLst>
                              <a:cxn ang="0">
                                <a:pos x="2154" y="905"/>
                              </a:cxn>
                              <a:cxn ang="0">
                                <a:pos x="0" y="45"/>
                              </a:cxn>
                              <a:cxn ang="0">
                                <a:pos x="327" y="0"/>
                              </a:cxn>
                              <a:cxn ang="0">
                                <a:pos x="2450" y="847"/>
                              </a:cxn>
                              <a:cxn ang="0">
                                <a:pos x="2154" y="905"/>
                              </a:cxn>
                            </a:cxnLst>
                            <a:rect l="0" t="0" r="r" b="b"/>
                            <a:pathLst>
                              <a:path w="2450" h="905">
                                <a:moveTo>
                                  <a:pt x="2154" y="905"/>
                                </a:moveTo>
                                <a:lnTo>
                                  <a:pt x="0" y="45"/>
                                </a:lnTo>
                                <a:lnTo>
                                  <a:pt x="327" y="0"/>
                                </a:lnTo>
                                <a:lnTo>
                                  <a:pt x="2450" y="847"/>
                                </a:lnTo>
                                <a:lnTo>
                                  <a:pt x="2154" y="905"/>
                                </a:lnTo>
                                <a:close/>
                              </a:path>
                            </a:pathLst>
                          </a:custGeom>
                          <a:solidFill>
                            <a:srgbClr val="969595"/>
                          </a:solidFill>
                          <a:ln w="9525">
                            <a:noFill/>
                            <a:round/>
                            <a:headEnd/>
                            <a:tailEnd/>
                          </a:ln>
                        </wps:spPr>
                        <wps:bodyPr>
                          <a:prstTxWarp prst="textNoShape">
                            <a:avLst/>
                          </a:prstTxWarp>
                        </wps:bodyPr>
                      </wps:wsp>
                      <wps:wsp>
                        <wps:cNvPr id="2047755140" name="Freeform 33"/>
                        <wps:cNvSpPr>
                          <a:spLocks/>
                        </wps:cNvSpPr>
                        <wps:spPr bwMode="auto">
                          <a:xfrm>
                            <a:off x="2076069" y="234950"/>
                            <a:ext cx="1637242" cy="639762"/>
                          </a:xfrm>
                          <a:custGeom>
                            <a:avLst/>
                            <a:gdLst/>
                            <a:ahLst/>
                            <a:cxnLst>
                              <a:cxn ang="0">
                                <a:pos x="2138" y="900"/>
                              </a:cxn>
                              <a:cxn ang="0">
                                <a:pos x="0" y="45"/>
                              </a:cxn>
                              <a:cxn ang="0">
                                <a:pos x="329" y="0"/>
                              </a:cxn>
                              <a:cxn ang="0">
                                <a:pos x="2436" y="841"/>
                              </a:cxn>
                              <a:cxn ang="0">
                                <a:pos x="2138" y="900"/>
                              </a:cxn>
                            </a:cxnLst>
                            <a:rect l="0" t="0" r="r" b="b"/>
                            <a:pathLst>
                              <a:path w="2436" h="900">
                                <a:moveTo>
                                  <a:pt x="2138" y="900"/>
                                </a:moveTo>
                                <a:lnTo>
                                  <a:pt x="0" y="45"/>
                                </a:lnTo>
                                <a:lnTo>
                                  <a:pt x="329" y="0"/>
                                </a:lnTo>
                                <a:lnTo>
                                  <a:pt x="2436" y="841"/>
                                </a:lnTo>
                                <a:lnTo>
                                  <a:pt x="2138" y="900"/>
                                </a:lnTo>
                                <a:close/>
                              </a:path>
                            </a:pathLst>
                          </a:custGeom>
                          <a:solidFill>
                            <a:srgbClr val="959493"/>
                          </a:solidFill>
                          <a:ln w="9525">
                            <a:noFill/>
                            <a:round/>
                            <a:headEnd/>
                            <a:tailEnd/>
                          </a:ln>
                        </wps:spPr>
                        <wps:bodyPr>
                          <a:prstTxWarp prst="textNoShape">
                            <a:avLst/>
                          </a:prstTxWarp>
                        </wps:bodyPr>
                      </wps:wsp>
                      <wps:wsp>
                        <wps:cNvPr id="2047755141" name="Freeform 34"/>
                        <wps:cNvSpPr>
                          <a:spLocks/>
                        </wps:cNvSpPr>
                        <wps:spPr bwMode="auto">
                          <a:xfrm>
                            <a:off x="2186137" y="219075"/>
                            <a:ext cx="1626923" cy="635000"/>
                          </a:xfrm>
                          <a:custGeom>
                            <a:avLst/>
                            <a:gdLst/>
                            <a:ahLst/>
                            <a:cxnLst>
                              <a:cxn ang="0">
                                <a:pos x="2123" y="893"/>
                              </a:cxn>
                              <a:cxn ang="0">
                                <a:pos x="0" y="46"/>
                              </a:cxn>
                              <a:cxn ang="0">
                                <a:pos x="329" y="0"/>
                              </a:cxn>
                              <a:cxn ang="0">
                                <a:pos x="2421" y="835"/>
                              </a:cxn>
                              <a:cxn ang="0">
                                <a:pos x="2123" y="893"/>
                              </a:cxn>
                            </a:cxnLst>
                            <a:rect l="0" t="0" r="r" b="b"/>
                            <a:pathLst>
                              <a:path w="2421" h="893">
                                <a:moveTo>
                                  <a:pt x="2123" y="893"/>
                                </a:moveTo>
                                <a:lnTo>
                                  <a:pt x="0" y="46"/>
                                </a:lnTo>
                                <a:lnTo>
                                  <a:pt x="329" y="0"/>
                                </a:lnTo>
                                <a:lnTo>
                                  <a:pt x="2421" y="835"/>
                                </a:lnTo>
                                <a:lnTo>
                                  <a:pt x="2123" y="893"/>
                                </a:lnTo>
                                <a:close/>
                              </a:path>
                            </a:pathLst>
                          </a:custGeom>
                          <a:solidFill>
                            <a:srgbClr val="949393"/>
                          </a:solidFill>
                          <a:ln w="9525">
                            <a:noFill/>
                            <a:round/>
                            <a:headEnd/>
                            <a:tailEnd/>
                          </a:ln>
                        </wps:spPr>
                        <wps:bodyPr>
                          <a:prstTxWarp prst="textNoShape">
                            <a:avLst/>
                          </a:prstTxWarp>
                        </wps:bodyPr>
                      </wps:wsp>
                      <wps:wsp>
                        <wps:cNvPr id="2047755142" name="Freeform 35"/>
                        <wps:cNvSpPr>
                          <a:spLocks/>
                        </wps:cNvSpPr>
                        <wps:spPr bwMode="auto">
                          <a:xfrm>
                            <a:off x="2296203" y="203201"/>
                            <a:ext cx="1618325" cy="631825"/>
                          </a:xfrm>
                          <a:custGeom>
                            <a:avLst/>
                            <a:gdLst/>
                            <a:ahLst/>
                            <a:cxnLst>
                              <a:cxn ang="0">
                                <a:pos x="2107" y="887"/>
                              </a:cxn>
                              <a:cxn ang="0">
                                <a:pos x="0" y="46"/>
                              </a:cxn>
                              <a:cxn ang="0">
                                <a:pos x="327" y="0"/>
                              </a:cxn>
                              <a:cxn ang="0">
                                <a:pos x="2404" y="829"/>
                              </a:cxn>
                              <a:cxn ang="0">
                                <a:pos x="2107" y="887"/>
                              </a:cxn>
                            </a:cxnLst>
                            <a:rect l="0" t="0" r="r" b="b"/>
                            <a:pathLst>
                              <a:path w="2404" h="887">
                                <a:moveTo>
                                  <a:pt x="2107" y="887"/>
                                </a:moveTo>
                                <a:lnTo>
                                  <a:pt x="0" y="46"/>
                                </a:lnTo>
                                <a:lnTo>
                                  <a:pt x="327" y="0"/>
                                </a:lnTo>
                                <a:lnTo>
                                  <a:pt x="2404" y="829"/>
                                </a:lnTo>
                                <a:lnTo>
                                  <a:pt x="2107" y="887"/>
                                </a:lnTo>
                                <a:close/>
                              </a:path>
                            </a:pathLst>
                          </a:custGeom>
                          <a:solidFill>
                            <a:srgbClr val="949292"/>
                          </a:solidFill>
                          <a:ln w="9525">
                            <a:noFill/>
                            <a:round/>
                            <a:headEnd/>
                            <a:tailEnd/>
                          </a:ln>
                        </wps:spPr>
                        <wps:bodyPr>
                          <a:prstTxWarp prst="textNoShape">
                            <a:avLst/>
                          </a:prstTxWarp>
                        </wps:bodyPr>
                      </wps:wsp>
                      <wps:wsp>
                        <wps:cNvPr id="2047755143" name="Freeform 36"/>
                        <wps:cNvSpPr>
                          <a:spLocks/>
                        </wps:cNvSpPr>
                        <wps:spPr bwMode="auto">
                          <a:xfrm>
                            <a:off x="2407991" y="187326"/>
                            <a:ext cx="1604565" cy="625475"/>
                          </a:xfrm>
                          <a:custGeom>
                            <a:avLst/>
                            <a:gdLst/>
                            <a:ahLst/>
                            <a:cxnLst>
                              <a:cxn ang="0">
                                <a:pos x="2092" y="880"/>
                              </a:cxn>
                              <a:cxn ang="0">
                                <a:pos x="0" y="45"/>
                              </a:cxn>
                              <a:cxn ang="0">
                                <a:pos x="328" y="0"/>
                              </a:cxn>
                              <a:cxn ang="0">
                                <a:pos x="2389" y="823"/>
                              </a:cxn>
                              <a:cxn ang="0">
                                <a:pos x="2092" y="880"/>
                              </a:cxn>
                            </a:cxnLst>
                            <a:rect l="0" t="0" r="r" b="b"/>
                            <a:pathLst>
                              <a:path w="2389" h="880">
                                <a:moveTo>
                                  <a:pt x="2092" y="880"/>
                                </a:moveTo>
                                <a:lnTo>
                                  <a:pt x="0" y="45"/>
                                </a:lnTo>
                                <a:lnTo>
                                  <a:pt x="328" y="0"/>
                                </a:lnTo>
                                <a:lnTo>
                                  <a:pt x="2389" y="823"/>
                                </a:lnTo>
                                <a:lnTo>
                                  <a:pt x="2092" y="880"/>
                                </a:lnTo>
                                <a:close/>
                              </a:path>
                            </a:pathLst>
                          </a:custGeom>
                          <a:solidFill>
                            <a:srgbClr val="939291"/>
                          </a:solidFill>
                          <a:ln w="9525">
                            <a:noFill/>
                            <a:round/>
                            <a:headEnd/>
                            <a:tailEnd/>
                          </a:ln>
                        </wps:spPr>
                        <wps:bodyPr>
                          <a:prstTxWarp prst="textNoShape">
                            <a:avLst/>
                          </a:prstTxWarp>
                        </wps:bodyPr>
                      </wps:wsp>
                      <wps:wsp>
                        <wps:cNvPr id="2047755145" name="Freeform 37"/>
                        <wps:cNvSpPr>
                          <a:spLocks/>
                        </wps:cNvSpPr>
                        <wps:spPr bwMode="auto">
                          <a:xfrm>
                            <a:off x="2516336" y="171450"/>
                            <a:ext cx="1597687" cy="620712"/>
                          </a:xfrm>
                          <a:custGeom>
                            <a:avLst/>
                            <a:gdLst/>
                            <a:ahLst/>
                            <a:cxnLst>
                              <a:cxn ang="0">
                                <a:pos x="2077" y="874"/>
                              </a:cxn>
                              <a:cxn ang="0">
                                <a:pos x="0" y="45"/>
                              </a:cxn>
                              <a:cxn ang="0">
                                <a:pos x="329" y="0"/>
                              </a:cxn>
                              <a:cxn ang="0">
                                <a:pos x="2375" y="816"/>
                              </a:cxn>
                              <a:cxn ang="0">
                                <a:pos x="2077" y="874"/>
                              </a:cxn>
                            </a:cxnLst>
                            <a:rect l="0" t="0" r="r" b="b"/>
                            <a:pathLst>
                              <a:path w="2375" h="874">
                                <a:moveTo>
                                  <a:pt x="2077" y="874"/>
                                </a:moveTo>
                                <a:lnTo>
                                  <a:pt x="0" y="45"/>
                                </a:lnTo>
                                <a:lnTo>
                                  <a:pt x="329" y="0"/>
                                </a:lnTo>
                                <a:lnTo>
                                  <a:pt x="2375" y="816"/>
                                </a:lnTo>
                                <a:lnTo>
                                  <a:pt x="2077" y="874"/>
                                </a:lnTo>
                                <a:close/>
                              </a:path>
                            </a:pathLst>
                          </a:custGeom>
                          <a:solidFill>
                            <a:srgbClr val="929190"/>
                          </a:solidFill>
                          <a:ln w="9525">
                            <a:noFill/>
                            <a:round/>
                            <a:headEnd/>
                            <a:tailEnd/>
                          </a:ln>
                        </wps:spPr>
                        <wps:bodyPr>
                          <a:prstTxWarp prst="textNoShape">
                            <a:avLst/>
                          </a:prstTxWarp>
                        </wps:bodyPr>
                      </wps:wsp>
                      <wps:wsp>
                        <wps:cNvPr id="2047755146" name="Freeform 38"/>
                        <wps:cNvSpPr>
                          <a:spLocks/>
                        </wps:cNvSpPr>
                        <wps:spPr bwMode="auto">
                          <a:xfrm>
                            <a:off x="2626403" y="153988"/>
                            <a:ext cx="1585648" cy="619125"/>
                          </a:xfrm>
                          <a:custGeom>
                            <a:avLst/>
                            <a:gdLst/>
                            <a:ahLst/>
                            <a:cxnLst>
                              <a:cxn ang="0">
                                <a:pos x="2061" y="869"/>
                              </a:cxn>
                              <a:cxn ang="0">
                                <a:pos x="0" y="46"/>
                              </a:cxn>
                              <a:cxn ang="0">
                                <a:pos x="327" y="0"/>
                              </a:cxn>
                              <a:cxn ang="0">
                                <a:pos x="2358" y="811"/>
                              </a:cxn>
                              <a:cxn ang="0">
                                <a:pos x="2061" y="869"/>
                              </a:cxn>
                            </a:cxnLst>
                            <a:rect l="0" t="0" r="r" b="b"/>
                            <a:pathLst>
                              <a:path w="2358" h="869">
                                <a:moveTo>
                                  <a:pt x="2061" y="869"/>
                                </a:moveTo>
                                <a:lnTo>
                                  <a:pt x="0" y="46"/>
                                </a:lnTo>
                                <a:lnTo>
                                  <a:pt x="327" y="0"/>
                                </a:lnTo>
                                <a:lnTo>
                                  <a:pt x="2358" y="811"/>
                                </a:lnTo>
                                <a:lnTo>
                                  <a:pt x="2061" y="869"/>
                                </a:lnTo>
                                <a:close/>
                              </a:path>
                            </a:pathLst>
                          </a:custGeom>
                          <a:solidFill>
                            <a:srgbClr val="919090"/>
                          </a:solidFill>
                          <a:ln w="9525">
                            <a:noFill/>
                            <a:round/>
                            <a:headEnd/>
                            <a:tailEnd/>
                          </a:ln>
                        </wps:spPr>
                        <wps:bodyPr>
                          <a:prstTxWarp prst="textNoShape">
                            <a:avLst/>
                          </a:prstTxWarp>
                        </wps:bodyPr>
                      </wps:wsp>
                      <wps:wsp>
                        <wps:cNvPr id="2047755147" name="Freeform 39"/>
                        <wps:cNvSpPr>
                          <a:spLocks/>
                        </wps:cNvSpPr>
                        <wps:spPr bwMode="auto">
                          <a:xfrm>
                            <a:off x="2738190" y="138113"/>
                            <a:ext cx="1575329" cy="612775"/>
                          </a:xfrm>
                          <a:custGeom>
                            <a:avLst/>
                            <a:gdLst/>
                            <a:ahLst/>
                            <a:cxnLst>
                              <a:cxn ang="0">
                                <a:pos x="2046" y="862"/>
                              </a:cxn>
                              <a:cxn ang="0">
                                <a:pos x="0" y="46"/>
                              </a:cxn>
                              <a:cxn ang="0">
                                <a:pos x="327" y="0"/>
                              </a:cxn>
                              <a:cxn ang="0">
                                <a:pos x="2342" y="805"/>
                              </a:cxn>
                              <a:cxn ang="0">
                                <a:pos x="2046" y="862"/>
                              </a:cxn>
                            </a:cxnLst>
                            <a:rect l="0" t="0" r="r" b="b"/>
                            <a:pathLst>
                              <a:path w="2342" h="862">
                                <a:moveTo>
                                  <a:pt x="2046" y="862"/>
                                </a:moveTo>
                                <a:lnTo>
                                  <a:pt x="0" y="46"/>
                                </a:lnTo>
                                <a:lnTo>
                                  <a:pt x="327" y="0"/>
                                </a:lnTo>
                                <a:lnTo>
                                  <a:pt x="2342" y="805"/>
                                </a:lnTo>
                                <a:lnTo>
                                  <a:pt x="2046" y="862"/>
                                </a:lnTo>
                                <a:close/>
                              </a:path>
                            </a:pathLst>
                          </a:custGeom>
                          <a:solidFill>
                            <a:srgbClr val="91908F"/>
                          </a:solidFill>
                          <a:ln w="9525">
                            <a:noFill/>
                            <a:round/>
                            <a:headEnd/>
                            <a:tailEnd/>
                          </a:ln>
                        </wps:spPr>
                        <wps:bodyPr>
                          <a:prstTxWarp prst="textNoShape">
                            <a:avLst/>
                          </a:prstTxWarp>
                        </wps:bodyPr>
                      </wps:wsp>
                      <wps:wsp>
                        <wps:cNvPr id="2047755148" name="Freeform 40"/>
                        <wps:cNvSpPr>
                          <a:spLocks/>
                        </wps:cNvSpPr>
                        <wps:spPr bwMode="auto">
                          <a:xfrm>
                            <a:off x="2846537" y="122237"/>
                            <a:ext cx="1565010" cy="609600"/>
                          </a:xfrm>
                          <a:custGeom>
                            <a:avLst/>
                            <a:gdLst/>
                            <a:ahLst/>
                            <a:cxnLst>
                              <a:cxn ang="0">
                                <a:pos x="2031" y="857"/>
                              </a:cxn>
                              <a:cxn ang="0">
                                <a:pos x="0" y="46"/>
                              </a:cxn>
                              <a:cxn ang="0">
                                <a:pos x="329" y="0"/>
                              </a:cxn>
                              <a:cxn ang="0">
                                <a:pos x="2328" y="798"/>
                              </a:cxn>
                              <a:cxn ang="0">
                                <a:pos x="2031" y="857"/>
                              </a:cxn>
                            </a:cxnLst>
                            <a:rect l="0" t="0" r="r" b="b"/>
                            <a:pathLst>
                              <a:path w="2328" h="857">
                                <a:moveTo>
                                  <a:pt x="2031" y="857"/>
                                </a:moveTo>
                                <a:lnTo>
                                  <a:pt x="0" y="46"/>
                                </a:lnTo>
                                <a:lnTo>
                                  <a:pt x="329" y="0"/>
                                </a:lnTo>
                                <a:lnTo>
                                  <a:pt x="2328" y="798"/>
                                </a:lnTo>
                                <a:lnTo>
                                  <a:pt x="2031" y="857"/>
                                </a:lnTo>
                                <a:close/>
                              </a:path>
                            </a:pathLst>
                          </a:custGeom>
                          <a:solidFill>
                            <a:srgbClr val="908F8E"/>
                          </a:solidFill>
                          <a:ln w="9525">
                            <a:noFill/>
                            <a:round/>
                            <a:headEnd/>
                            <a:tailEnd/>
                          </a:ln>
                        </wps:spPr>
                        <wps:bodyPr>
                          <a:prstTxWarp prst="textNoShape">
                            <a:avLst/>
                          </a:prstTxWarp>
                        </wps:bodyPr>
                      </wps:wsp>
                      <wps:wsp>
                        <wps:cNvPr id="2047755149" name="Freeform 41"/>
                        <wps:cNvSpPr>
                          <a:spLocks/>
                        </wps:cNvSpPr>
                        <wps:spPr bwMode="auto">
                          <a:xfrm>
                            <a:off x="2958323" y="106362"/>
                            <a:ext cx="1554692" cy="604838"/>
                          </a:xfrm>
                          <a:custGeom>
                            <a:avLst/>
                            <a:gdLst/>
                            <a:ahLst/>
                            <a:cxnLst>
                              <a:cxn ang="0">
                                <a:pos x="2015" y="850"/>
                              </a:cxn>
                              <a:cxn ang="0">
                                <a:pos x="0" y="45"/>
                              </a:cxn>
                              <a:cxn ang="0">
                                <a:pos x="329" y="0"/>
                              </a:cxn>
                              <a:cxn ang="0">
                                <a:pos x="2313" y="792"/>
                              </a:cxn>
                              <a:cxn ang="0">
                                <a:pos x="2015" y="850"/>
                              </a:cxn>
                            </a:cxnLst>
                            <a:rect l="0" t="0" r="r" b="b"/>
                            <a:pathLst>
                              <a:path w="2313" h="850">
                                <a:moveTo>
                                  <a:pt x="2015" y="850"/>
                                </a:moveTo>
                                <a:lnTo>
                                  <a:pt x="0" y="45"/>
                                </a:lnTo>
                                <a:lnTo>
                                  <a:pt x="329" y="0"/>
                                </a:lnTo>
                                <a:lnTo>
                                  <a:pt x="2313" y="792"/>
                                </a:lnTo>
                                <a:lnTo>
                                  <a:pt x="2015" y="850"/>
                                </a:lnTo>
                                <a:close/>
                              </a:path>
                            </a:pathLst>
                          </a:custGeom>
                          <a:solidFill>
                            <a:srgbClr val="8F8E8D"/>
                          </a:solidFill>
                          <a:ln w="9525">
                            <a:noFill/>
                            <a:round/>
                            <a:headEnd/>
                            <a:tailEnd/>
                          </a:ln>
                        </wps:spPr>
                        <wps:bodyPr>
                          <a:prstTxWarp prst="textNoShape">
                            <a:avLst/>
                          </a:prstTxWarp>
                        </wps:bodyPr>
                      </wps:wsp>
                      <wps:wsp>
                        <wps:cNvPr id="2047755150" name="Freeform 42"/>
                        <wps:cNvSpPr>
                          <a:spLocks/>
                        </wps:cNvSpPr>
                        <wps:spPr bwMode="auto">
                          <a:xfrm>
                            <a:off x="3068390" y="88901"/>
                            <a:ext cx="1544373" cy="600075"/>
                          </a:xfrm>
                          <a:custGeom>
                            <a:avLst/>
                            <a:gdLst/>
                            <a:ahLst/>
                            <a:cxnLst>
                              <a:cxn ang="0">
                                <a:pos x="1999" y="843"/>
                              </a:cxn>
                              <a:cxn ang="0">
                                <a:pos x="0" y="45"/>
                              </a:cxn>
                              <a:cxn ang="0">
                                <a:pos x="327" y="0"/>
                              </a:cxn>
                              <a:cxn ang="0">
                                <a:pos x="2297" y="785"/>
                              </a:cxn>
                              <a:cxn ang="0">
                                <a:pos x="1999" y="843"/>
                              </a:cxn>
                            </a:cxnLst>
                            <a:rect l="0" t="0" r="r" b="b"/>
                            <a:pathLst>
                              <a:path w="2297" h="843">
                                <a:moveTo>
                                  <a:pt x="1999" y="843"/>
                                </a:moveTo>
                                <a:lnTo>
                                  <a:pt x="0" y="45"/>
                                </a:lnTo>
                                <a:lnTo>
                                  <a:pt x="327" y="0"/>
                                </a:lnTo>
                                <a:lnTo>
                                  <a:pt x="2297" y="785"/>
                                </a:lnTo>
                                <a:lnTo>
                                  <a:pt x="1999" y="843"/>
                                </a:lnTo>
                                <a:close/>
                              </a:path>
                            </a:pathLst>
                          </a:custGeom>
                          <a:solidFill>
                            <a:srgbClr val="8E8D8D"/>
                          </a:solidFill>
                          <a:ln w="9525">
                            <a:noFill/>
                            <a:round/>
                            <a:headEnd/>
                            <a:tailEnd/>
                          </a:ln>
                        </wps:spPr>
                        <wps:bodyPr>
                          <a:prstTxWarp prst="textNoShape">
                            <a:avLst/>
                          </a:prstTxWarp>
                        </wps:bodyPr>
                      </wps:wsp>
                      <wps:wsp>
                        <wps:cNvPr id="2047755151" name="Freeform 43"/>
                        <wps:cNvSpPr>
                          <a:spLocks/>
                        </wps:cNvSpPr>
                        <wps:spPr bwMode="auto">
                          <a:xfrm>
                            <a:off x="3180176" y="73025"/>
                            <a:ext cx="1532335" cy="596900"/>
                          </a:xfrm>
                          <a:custGeom>
                            <a:avLst/>
                            <a:gdLst/>
                            <a:ahLst/>
                            <a:cxnLst>
                              <a:cxn ang="0">
                                <a:pos x="1984" y="838"/>
                              </a:cxn>
                              <a:cxn ang="0">
                                <a:pos x="0" y="46"/>
                              </a:cxn>
                              <a:cxn ang="0">
                                <a:pos x="327" y="0"/>
                              </a:cxn>
                              <a:cxn ang="0">
                                <a:pos x="2282" y="780"/>
                              </a:cxn>
                              <a:cxn ang="0">
                                <a:pos x="1984" y="838"/>
                              </a:cxn>
                            </a:cxnLst>
                            <a:rect l="0" t="0" r="r" b="b"/>
                            <a:pathLst>
                              <a:path w="2282" h="838">
                                <a:moveTo>
                                  <a:pt x="1984" y="838"/>
                                </a:moveTo>
                                <a:lnTo>
                                  <a:pt x="0" y="46"/>
                                </a:lnTo>
                                <a:lnTo>
                                  <a:pt x="327" y="0"/>
                                </a:lnTo>
                                <a:lnTo>
                                  <a:pt x="2282" y="780"/>
                                </a:lnTo>
                                <a:lnTo>
                                  <a:pt x="1984" y="838"/>
                                </a:lnTo>
                                <a:close/>
                              </a:path>
                            </a:pathLst>
                          </a:custGeom>
                          <a:solidFill>
                            <a:srgbClr val="8E8D8C"/>
                          </a:solidFill>
                          <a:ln w="9525">
                            <a:noFill/>
                            <a:round/>
                            <a:headEnd/>
                            <a:tailEnd/>
                          </a:ln>
                        </wps:spPr>
                        <wps:bodyPr>
                          <a:prstTxWarp prst="textNoShape">
                            <a:avLst/>
                          </a:prstTxWarp>
                        </wps:bodyPr>
                      </wps:wsp>
                      <wps:wsp>
                        <wps:cNvPr id="2047755152" name="Freeform 44"/>
                        <wps:cNvSpPr>
                          <a:spLocks/>
                        </wps:cNvSpPr>
                        <wps:spPr bwMode="auto">
                          <a:xfrm>
                            <a:off x="3288524" y="57151"/>
                            <a:ext cx="1522015" cy="592137"/>
                          </a:xfrm>
                          <a:custGeom>
                            <a:avLst/>
                            <a:gdLst/>
                            <a:ahLst/>
                            <a:cxnLst>
                              <a:cxn ang="0">
                                <a:pos x="1970" y="831"/>
                              </a:cxn>
                              <a:cxn ang="0">
                                <a:pos x="0" y="46"/>
                              </a:cxn>
                              <a:cxn ang="0">
                                <a:pos x="329" y="0"/>
                              </a:cxn>
                              <a:cxn ang="0">
                                <a:pos x="2266" y="774"/>
                              </a:cxn>
                              <a:cxn ang="0">
                                <a:pos x="1970" y="831"/>
                              </a:cxn>
                            </a:cxnLst>
                            <a:rect l="0" t="0" r="r" b="b"/>
                            <a:pathLst>
                              <a:path w="2266" h="831">
                                <a:moveTo>
                                  <a:pt x="1970" y="831"/>
                                </a:moveTo>
                                <a:lnTo>
                                  <a:pt x="0" y="46"/>
                                </a:lnTo>
                                <a:lnTo>
                                  <a:pt x="329" y="0"/>
                                </a:lnTo>
                                <a:lnTo>
                                  <a:pt x="2266" y="774"/>
                                </a:lnTo>
                                <a:lnTo>
                                  <a:pt x="1970" y="831"/>
                                </a:lnTo>
                                <a:close/>
                              </a:path>
                            </a:pathLst>
                          </a:custGeom>
                          <a:solidFill>
                            <a:srgbClr val="8D8C8B"/>
                          </a:solidFill>
                          <a:ln w="9525">
                            <a:noFill/>
                            <a:round/>
                            <a:headEnd/>
                            <a:tailEnd/>
                          </a:ln>
                        </wps:spPr>
                        <wps:bodyPr>
                          <a:prstTxWarp prst="textNoShape">
                            <a:avLst/>
                          </a:prstTxWarp>
                        </wps:bodyPr>
                      </wps:wsp>
                      <wps:wsp>
                        <wps:cNvPr id="2047755153" name="Freeform 45"/>
                        <wps:cNvSpPr>
                          <a:spLocks/>
                        </wps:cNvSpPr>
                        <wps:spPr bwMode="auto">
                          <a:xfrm>
                            <a:off x="3400310" y="41276"/>
                            <a:ext cx="1511697" cy="585787"/>
                          </a:xfrm>
                          <a:custGeom>
                            <a:avLst/>
                            <a:gdLst/>
                            <a:ahLst/>
                            <a:cxnLst>
                              <a:cxn ang="0">
                                <a:pos x="1955" y="826"/>
                              </a:cxn>
                              <a:cxn ang="0">
                                <a:pos x="0" y="46"/>
                              </a:cxn>
                              <a:cxn ang="0">
                                <a:pos x="328" y="0"/>
                              </a:cxn>
                              <a:cxn ang="0">
                                <a:pos x="2251" y="767"/>
                              </a:cxn>
                              <a:cxn ang="0">
                                <a:pos x="1955" y="826"/>
                              </a:cxn>
                            </a:cxnLst>
                            <a:rect l="0" t="0" r="r" b="b"/>
                            <a:pathLst>
                              <a:path w="2251" h="826">
                                <a:moveTo>
                                  <a:pt x="1955" y="826"/>
                                </a:moveTo>
                                <a:lnTo>
                                  <a:pt x="0" y="46"/>
                                </a:lnTo>
                                <a:lnTo>
                                  <a:pt x="328" y="0"/>
                                </a:lnTo>
                                <a:lnTo>
                                  <a:pt x="2251" y="767"/>
                                </a:lnTo>
                                <a:lnTo>
                                  <a:pt x="1955" y="826"/>
                                </a:lnTo>
                                <a:close/>
                              </a:path>
                            </a:pathLst>
                          </a:custGeom>
                          <a:solidFill>
                            <a:srgbClr val="8C8B8A"/>
                          </a:solidFill>
                          <a:ln w="9525">
                            <a:noFill/>
                            <a:round/>
                            <a:headEnd/>
                            <a:tailEnd/>
                          </a:ln>
                        </wps:spPr>
                        <wps:bodyPr>
                          <a:prstTxWarp prst="textNoShape">
                            <a:avLst/>
                          </a:prstTxWarp>
                        </wps:bodyPr>
                      </wps:wsp>
                      <wps:wsp>
                        <wps:cNvPr id="2047755154" name="Freeform 46"/>
                        <wps:cNvSpPr>
                          <a:spLocks/>
                        </wps:cNvSpPr>
                        <wps:spPr bwMode="auto">
                          <a:xfrm>
                            <a:off x="3510376" y="25400"/>
                            <a:ext cx="1503098" cy="582612"/>
                          </a:xfrm>
                          <a:custGeom>
                            <a:avLst/>
                            <a:gdLst/>
                            <a:ahLst/>
                            <a:cxnLst>
                              <a:cxn ang="0">
                                <a:pos x="1937" y="819"/>
                              </a:cxn>
                              <a:cxn ang="0">
                                <a:pos x="0" y="45"/>
                              </a:cxn>
                              <a:cxn ang="0">
                                <a:pos x="327" y="0"/>
                              </a:cxn>
                              <a:cxn ang="0">
                                <a:pos x="2235" y="761"/>
                              </a:cxn>
                              <a:cxn ang="0">
                                <a:pos x="1937" y="819"/>
                              </a:cxn>
                            </a:cxnLst>
                            <a:rect l="0" t="0" r="r" b="b"/>
                            <a:pathLst>
                              <a:path w="2235" h="819">
                                <a:moveTo>
                                  <a:pt x="1937" y="819"/>
                                </a:moveTo>
                                <a:lnTo>
                                  <a:pt x="0" y="45"/>
                                </a:lnTo>
                                <a:lnTo>
                                  <a:pt x="327" y="0"/>
                                </a:lnTo>
                                <a:lnTo>
                                  <a:pt x="2235" y="761"/>
                                </a:lnTo>
                                <a:lnTo>
                                  <a:pt x="1937" y="819"/>
                                </a:lnTo>
                                <a:close/>
                              </a:path>
                            </a:pathLst>
                          </a:custGeom>
                          <a:solidFill>
                            <a:srgbClr val="8B8A8A"/>
                          </a:solidFill>
                          <a:ln w="9525">
                            <a:noFill/>
                            <a:round/>
                            <a:headEnd/>
                            <a:tailEnd/>
                          </a:ln>
                        </wps:spPr>
                        <wps:bodyPr>
                          <a:prstTxWarp prst="textNoShape">
                            <a:avLst/>
                          </a:prstTxWarp>
                        </wps:bodyPr>
                      </wps:wsp>
                      <wps:wsp>
                        <wps:cNvPr id="2047755155" name="Freeform 47"/>
                        <wps:cNvSpPr>
                          <a:spLocks/>
                        </wps:cNvSpPr>
                        <wps:spPr bwMode="auto">
                          <a:xfrm>
                            <a:off x="3618723" y="7937"/>
                            <a:ext cx="1492779" cy="579438"/>
                          </a:xfrm>
                          <a:custGeom>
                            <a:avLst/>
                            <a:gdLst/>
                            <a:ahLst/>
                            <a:cxnLst>
                              <a:cxn ang="0">
                                <a:pos x="1923" y="812"/>
                              </a:cxn>
                              <a:cxn ang="0">
                                <a:pos x="0" y="45"/>
                              </a:cxn>
                              <a:cxn ang="0">
                                <a:pos x="327" y="0"/>
                              </a:cxn>
                              <a:cxn ang="0">
                                <a:pos x="2221" y="755"/>
                              </a:cxn>
                              <a:cxn ang="0">
                                <a:pos x="1923" y="812"/>
                              </a:cxn>
                            </a:cxnLst>
                            <a:rect l="0" t="0" r="r" b="b"/>
                            <a:pathLst>
                              <a:path w="2221" h="812">
                                <a:moveTo>
                                  <a:pt x="1923" y="812"/>
                                </a:moveTo>
                                <a:lnTo>
                                  <a:pt x="0" y="45"/>
                                </a:lnTo>
                                <a:lnTo>
                                  <a:pt x="327" y="0"/>
                                </a:lnTo>
                                <a:lnTo>
                                  <a:pt x="2221" y="755"/>
                                </a:lnTo>
                                <a:lnTo>
                                  <a:pt x="1923" y="812"/>
                                </a:lnTo>
                                <a:close/>
                              </a:path>
                            </a:pathLst>
                          </a:custGeom>
                          <a:solidFill>
                            <a:srgbClr val="8B8989"/>
                          </a:solidFill>
                          <a:ln w="9525">
                            <a:noFill/>
                            <a:round/>
                            <a:headEnd/>
                            <a:tailEnd/>
                          </a:ln>
                        </wps:spPr>
                        <wps:bodyPr>
                          <a:prstTxWarp prst="textNoShape">
                            <a:avLst/>
                          </a:prstTxWarp>
                        </wps:bodyPr>
                      </wps:wsp>
                      <wps:wsp>
                        <wps:cNvPr id="2047755156" name="Freeform 48"/>
                        <wps:cNvSpPr>
                          <a:spLocks/>
                        </wps:cNvSpPr>
                        <wps:spPr bwMode="auto">
                          <a:xfrm>
                            <a:off x="3730510" y="0"/>
                            <a:ext cx="1429147" cy="565150"/>
                          </a:xfrm>
                          <a:custGeom>
                            <a:avLst/>
                            <a:gdLst/>
                            <a:ahLst/>
                            <a:cxnLst>
                              <a:cxn ang="0">
                                <a:pos x="1908" y="795"/>
                              </a:cxn>
                              <a:cxn ang="0">
                                <a:pos x="0" y="34"/>
                              </a:cxn>
                              <a:cxn ang="0">
                                <a:pos x="241" y="0"/>
                              </a:cxn>
                              <a:cxn ang="0">
                                <a:pos x="2127" y="752"/>
                              </a:cxn>
                              <a:cxn ang="0">
                                <a:pos x="1908" y="795"/>
                              </a:cxn>
                            </a:cxnLst>
                            <a:rect l="0" t="0" r="r" b="b"/>
                            <a:pathLst>
                              <a:path w="2127" h="795">
                                <a:moveTo>
                                  <a:pt x="1908" y="795"/>
                                </a:moveTo>
                                <a:lnTo>
                                  <a:pt x="0" y="34"/>
                                </a:lnTo>
                                <a:lnTo>
                                  <a:pt x="241" y="0"/>
                                </a:lnTo>
                                <a:lnTo>
                                  <a:pt x="2127" y="752"/>
                                </a:lnTo>
                                <a:lnTo>
                                  <a:pt x="1908" y="795"/>
                                </a:lnTo>
                                <a:close/>
                              </a:path>
                            </a:pathLst>
                          </a:custGeom>
                          <a:solidFill>
                            <a:srgbClr val="8A8988"/>
                          </a:solidFill>
                          <a:ln w="9525">
                            <a:noFill/>
                            <a:round/>
                            <a:headEnd/>
                            <a:tailEnd/>
                          </a:ln>
                        </wps:spPr>
                        <wps:bodyPr>
                          <a:prstTxWarp prst="textNoShape">
                            <a:avLst/>
                          </a:prstTxWarp>
                        </wps:bodyPr>
                      </wps:wsp>
                      <wps:wsp>
                        <wps:cNvPr id="2047755157" name="Freeform 49"/>
                        <wps:cNvSpPr>
                          <a:spLocks/>
                        </wps:cNvSpPr>
                        <wps:spPr bwMode="auto">
                          <a:xfrm>
                            <a:off x="3838857" y="0"/>
                            <a:ext cx="1320800" cy="546100"/>
                          </a:xfrm>
                          <a:custGeom>
                            <a:avLst/>
                            <a:gdLst/>
                            <a:ahLst/>
                            <a:cxnLst>
                              <a:cxn ang="0">
                                <a:pos x="1894" y="766"/>
                              </a:cxn>
                              <a:cxn ang="0">
                                <a:pos x="0" y="11"/>
                              </a:cxn>
                              <a:cxn ang="0">
                                <a:pos x="78" y="0"/>
                              </a:cxn>
                              <a:cxn ang="0">
                                <a:pos x="1964" y="752"/>
                              </a:cxn>
                              <a:cxn ang="0">
                                <a:pos x="1894" y="766"/>
                              </a:cxn>
                            </a:cxnLst>
                            <a:rect l="0" t="0" r="r" b="b"/>
                            <a:pathLst>
                              <a:path w="1964" h="766">
                                <a:moveTo>
                                  <a:pt x="1894" y="766"/>
                                </a:moveTo>
                                <a:lnTo>
                                  <a:pt x="0" y="11"/>
                                </a:lnTo>
                                <a:lnTo>
                                  <a:pt x="78" y="0"/>
                                </a:lnTo>
                                <a:lnTo>
                                  <a:pt x="1964" y="752"/>
                                </a:lnTo>
                                <a:lnTo>
                                  <a:pt x="1894" y="766"/>
                                </a:lnTo>
                                <a:close/>
                              </a:path>
                            </a:pathLst>
                          </a:custGeom>
                          <a:solidFill>
                            <a:srgbClr val="898887"/>
                          </a:solidFill>
                          <a:ln w="9525">
                            <a:noFill/>
                            <a:round/>
                            <a:headEnd/>
                            <a:tailEnd/>
                          </a:ln>
                        </wps:spPr>
                        <wps:bodyPr>
                          <a:prstTxWarp prst="textNoShape">
                            <a:avLst/>
                          </a:prstTxWarp>
                        </wps:bodyPr>
                      </wps:wsp>
                      <wps:wsp>
                        <wps:cNvPr id="2047755158" name="Freeform 50"/>
                        <wps:cNvSpPr>
                          <a:spLocks/>
                        </wps:cNvSpPr>
                        <wps:spPr bwMode="auto">
                          <a:xfrm>
                            <a:off x="495582" y="1"/>
                            <a:ext cx="4664075" cy="1169987"/>
                          </a:xfrm>
                          <a:custGeom>
                            <a:avLst/>
                            <a:gdLst/>
                            <a:ahLst/>
                            <a:cxnLst>
                              <a:cxn ang="0">
                                <a:pos x="0" y="703"/>
                              </a:cxn>
                              <a:cxn ang="0">
                                <a:pos x="5051" y="0"/>
                              </a:cxn>
                              <a:cxn ang="0">
                                <a:pos x="6937" y="752"/>
                              </a:cxn>
                              <a:cxn ang="0">
                                <a:pos x="2357" y="1644"/>
                              </a:cxn>
                              <a:cxn ang="0">
                                <a:pos x="0" y="703"/>
                              </a:cxn>
                            </a:cxnLst>
                            <a:rect l="0" t="0" r="r" b="b"/>
                            <a:pathLst>
                              <a:path w="6937" h="1644">
                                <a:moveTo>
                                  <a:pt x="0" y="703"/>
                                </a:moveTo>
                                <a:lnTo>
                                  <a:pt x="5051" y="0"/>
                                </a:lnTo>
                                <a:lnTo>
                                  <a:pt x="6937" y="752"/>
                                </a:lnTo>
                                <a:lnTo>
                                  <a:pt x="2357" y="1644"/>
                                </a:lnTo>
                                <a:lnTo>
                                  <a:pt x="0" y="703"/>
                                </a:lnTo>
                                <a:close/>
                              </a:path>
                            </a:pathLst>
                          </a:custGeom>
                          <a:noFill/>
                          <a:ln w="6350">
                            <a:solidFill>
                              <a:srgbClr val="1F1A17"/>
                            </a:solidFill>
                            <a:prstDash val="solid"/>
                            <a:round/>
                            <a:headEnd/>
                            <a:tailEnd/>
                          </a:ln>
                        </wps:spPr>
                        <wps:bodyPr>
                          <a:prstTxWarp prst="textNoShape">
                            <a:avLst/>
                          </a:prstTxWarp>
                        </wps:bodyPr>
                      </wps:wsp>
                      <wps:wsp>
                        <wps:cNvPr id="2047755159" name="Freeform 51"/>
                        <wps:cNvSpPr>
                          <a:spLocks/>
                        </wps:cNvSpPr>
                        <wps:spPr bwMode="auto">
                          <a:xfrm>
                            <a:off x="2081230" y="1133476"/>
                            <a:ext cx="1257167" cy="2141537"/>
                          </a:xfrm>
                          <a:custGeom>
                            <a:avLst/>
                            <a:gdLst/>
                            <a:ahLst/>
                            <a:cxnLst>
                              <a:cxn ang="0">
                                <a:pos x="266" y="0"/>
                              </a:cxn>
                              <a:cxn ang="0">
                                <a:pos x="1871" y="2925"/>
                              </a:cxn>
                              <a:cxn ang="0">
                                <a:pos x="1624" y="3011"/>
                              </a:cxn>
                              <a:cxn ang="0">
                                <a:pos x="0" y="52"/>
                              </a:cxn>
                              <a:cxn ang="0">
                                <a:pos x="266" y="0"/>
                              </a:cxn>
                            </a:cxnLst>
                            <a:rect l="0" t="0" r="r" b="b"/>
                            <a:pathLst>
                              <a:path w="1871" h="3011">
                                <a:moveTo>
                                  <a:pt x="266" y="0"/>
                                </a:moveTo>
                                <a:lnTo>
                                  <a:pt x="1871" y="2925"/>
                                </a:lnTo>
                                <a:lnTo>
                                  <a:pt x="1624" y="3011"/>
                                </a:lnTo>
                                <a:lnTo>
                                  <a:pt x="0" y="52"/>
                                </a:lnTo>
                                <a:lnTo>
                                  <a:pt x="266" y="0"/>
                                </a:lnTo>
                                <a:close/>
                              </a:path>
                            </a:pathLst>
                          </a:custGeom>
                          <a:solidFill>
                            <a:srgbClr val="A2A1A0"/>
                          </a:solidFill>
                          <a:ln w="9525">
                            <a:noFill/>
                            <a:round/>
                            <a:headEnd/>
                            <a:tailEnd/>
                          </a:ln>
                        </wps:spPr>
                        <wps:bodyPr>
                          <a:prstTxWarp prst="textNoShape">
                            <a:avLst/>
                          </a:prstTxWarp>
                        </wps:bodyPr>
                      </wps:wsp>
                      <wps:wsp>
                        <wps:cNvPr id="2047755160" name="Freeform 53"/>
                        <wps:cNvSpPr>
                          <a:spLocks/>
                        </wps:cNvSpPr>
                        <wps:spPr bwMode="auto">
                          <a:xfrm>
                            <a:off x="2162059" y="1111251"/>
                            <a:ext cx="1265767" cy="2136775"/>
                          </a:xfrm>
                          <a:custGeom>
                            <a:avLst/>
                            <a:gdLst/>
                            <a:ahLst/>
                            <a:cxnLst>
                              <a:cxn ang="0">
                                <a:pos x="1616" y="3001"/>
                              </a:cxn>
                              <a:cxn ang="0">
                                <a:pos x="0" y="57"/>
                              </a:cxn>
                              <a:cxn ang="0">
                                <a:pos x="290" y="0"/>
                              </a:cxn>
                              <a:cxn ang="0">
                                <a:pos x="1884" y="2907"/>
                              </a:cxn>
                              <a:cxn ang="0">
                                <a:pos x="1616" y="3001"/>
                              </a:cxn>
                            </a:cxnLst>
                            <a:rect l="0" t="0" r="r" b="b"/>
                            <a:pathLst>
                              <a:path w="1884" h="3001">
                                <a:moveTo>
                                  <a:pt x="1616" y="3001"/>
                                </a:moveTo>
                                <a:lnTo>
                                  <a:pt x="0" y="57"/>
                                </a:lnTo>
                                <a:lnTo>
                                  <a:pt x="290" y="0"/>
                                </a:lnTo>
                                <a:lnTo>
                                  <a:pt x="1884" y="2907"/>
                                </a:lnTo>
                                <a:lnTo>
                                  <a:pt x="1616" y="3001"/>
                                </a:lnTo>
                                <a:close/>
                              </a:path>
                            </a:pathLst>
                          </a:custGeom>
                          <a:solidFill>
                            <a:srgbClr val="A1A09F"/>
                          </a:solidFill>
                          <a:ln w="9525">
                            <a:noFill/>
                            <a:round/>
                            <a:headEnd/>
                            <a:tailEnd/>
                          </a:ln>
                        </wps:spPr>
                        <wps:bodyPr>
                          <a:prstTxWarp prst="textNoShape">
                            <a:avLst/>
                          </a:prstTxWarp>
                        </wps:bodyPr>
                      </wps:wsp>
                      <wps:wsp>
                        <wps:cNvPr id="2047755161" name="Freeform 54"/>
                        <wps:cNvSpPr>
                          <a:spLocks/>
                        </wps:cNvSpPr>
                        <wps:spPr bwMode="auto">
                          <a:xfrm>
                            <a:off x="2260088" y="1092200"/>
                            <a:ext cx="1258888" cy="2120900"/>
                          </a:xfrm>
                          <a:custGeom>
                            <a:avLst/>
                            <a:gdLst/>
                            <a:ahLst/>
                            <a:cxnLst>
                              <a:cxn ang="0">
                                <a:pos x="1605" y="2982"/>
                              </a:cxn>
                              <a:cxn ang="0">
                                <a:pos x="0" y="57"/>
                              </a:cxn>
                              <a:cxn ang="0">
                                <a:pos x="288" y="0"/>
                              </a:cxn>
                              <a:cxn ang="0">
                                <a:pos x="1873" y="2888"/>
                              </a:cxn>
                              <a:cxn ang="0">
                                <a:pos x="1605" y="2982"/>
                              </a:cxn>
                            </a:cxnLst>
                            <a:rect l="0" t="0" r="r" b="b"/>
                            <a:pathLst>
                              <a:path w="1873" h="2982">
                                <a:moveTo>
                                  <a:pt x="1605" y="2982"/>
                                </a:moveTo>
                                <a:lnTo>
                                  <a:pt x="0" y="57"/>
                                </a:lnTo>
                                <a:lnTo>
                                  <a:pt x="288" y="0"/>
                                </a:lnTo>
                                <a:lnTo>
                                  <a:pt x="1873" y="2888"/>
                                </a:lnTo>
                                <a:lnTo>
                                  <a:pt x="1605" y="2982"/>
                                </a:lnTo>
                                <a:close/>
                              </a:path>
                            </a:pathLst>
                          </a:custGeom>
                          <a:solidFill>
                            <a:srgbClr val="A09F9F"/>
                          </a:solidFill>
                          <a:ln w="9525">
                            <a:noFill/>
                            <a:round/>
                            <a:headEnd/>
                            <a:tailEnd/>
                          </a:ln>
                        </wps:spPr>
                        <wps:bodyPr>
                          <a:prstTxWarp prst="textNoShape">
                            <a:avLst/>
                          </a:prstTxWarp>
                        </wps:bodyPr>
                      </wps:wsp>
                      <wps:wsp>
                        <wps:cNvPr id="2047755162" name="Freeform 55"/>
                        <wps:cNvSpPr>
                          <a:spLocks/>
                        </wps:cNvSpPr>
                        <wps:spPr bwMode="auto">
                          <a:xfrm>
                            <a:off x="2356396" y="1073150"/>
                            <a:ext cx="1252008" cy="2106612"/>
                          </a:xfrm>
                          <a:custGeom>
                            <a:avLst/>
                            <a:gdLst/>
                            <a:ahLst/>
                            <a:cxnLst>
                              <a:cxn ang="0">
                                <a:pos x="1594" y="2962"/>
                              </a:cxn>
                              <a:cxn ang="0">
                                <a:pos x="0" y="55"/>
                              </a:cxn>
                              <a:cxn ang="0">
                                <a:pos x="288" y="0"/>
                              </a:cxn>
                              <a:cxn ang="0">
                                <a:pos x="1862" y="2868"/>
                              </a:cxn>
                              <a:cxn ang="0">
                                <a:pos x="1594" y="2962"/>
                              </a:cxn>
                            </a:cxnLst>
                            <a:rect l="0" t="0" r="r" b="b"/>
                            <a:pathLst>
                              <a:path w="1862" h="2962">
                                <a:moveTo>
                                  <a:pt x="1594" y="2962"/>
                                </a:moveTo>
                                <a:lnTo>
                                  <a:pt x="0" y="55"/>
                                </a:lnTo>
                                <a:lnTo>
                                  <a:pt x="288" y="0"/>
                                </a:lnTo>
                                <a:lnTo>
                                  <a:pt x="1862" y="2868"/>
                                </a:lnTo>
                                <a:lnTo>
                                  <a:pt x="1594" y="2962"/>
                                </a:lnTo>
                                <a:close/>
                              </a:path>
                            </a:pathLst>
                          </a:custGeom>
                          <a:solidFill>
                            <a:srgbClr val="9F9E9E"/>
                          </a:solidFill>
                          <a:ln w="9525">
                            <a:noFill/>
                            <a:round/>
                            <a:headEnd/>
                            <a:tailEnd/>
                          </a:ln>
                        </wps:spPr>
                        <wps:bodyPr>
                          <a:prstTxWarp prst="textNoShape">
                            <a:avLst/>
                          </a:prstTxWarp>
                        </wps:bodyPr>
                      </wps:wsp>
                      <wps:wsp>
                        <wps:cNvPr id="2047755163" name="Freeform 56"/>
                        <wps:cNvSpPr>
                          <a:spLocks/>
                        </wps:cNvSpPr>
                        <wps:spPr bwMode="auto">
                          <a:xfrm>
                            <a:off x="2454424" y="1054100"/>
                            <a:ext cx="1243410" cy="2093912"/>
                          </a:xfrm>
                          <a:custGeom>
                            <a:avLst/>
                            <a:gdLst/>
                            <a:ahLst/>
                            <a:cxnLst>
                              <a:cxn ang="0">
                                <a:pos x="1585" y="2943"/>
                              </a:cxn>
                              <a:cxn ang="0">
                                <a:pos x="0" y="55"/>
                              </a:cxn>
                              <a:cxn ang="0">
                                <a:pos x="290" y="0"/>
                              </a:cxn>
                              <a:cxn ang="0">
                                <a:pos x="1853" y="2849"/>
                              </a:cxn>
                              <a:cxn ang="0">
                                <a:pos x="1585" y="2943"/>
                              </a:cxn>
                            </a:cxnLst>
                            <a:rect l="0" t="0" r="r" b="b"/>
                            <a:pathLst>
                              <a:path w="1853" h="2943">
                                <a:moveTo>
                                  <a:pt x="1585" y="2943"/>
                                </a:moveTo>
                                <a:lnTo>
                                  <a:pt x="0" y="55"/>
                                </a:lnTo>
                                <a:lnTo>
                                  <a:pt x="290" y="0"/>
                                </a:lnTo>
                                <a:lnTo>
                                  <a:pt x="1853" y="2849"/>
                                </a:lnTo>
                                <a:lnTo>
                                  <a:pt x="1585" y="2943"/>
                                </a:lnTo>
                                <a:close/>
                              </a:path>
                            </a:pathLst>
                          </a:custGeom>
                          <a:solidFill>
                            <a:srgbClr val="9F9E9D"/>
                          </a:solidFill>
                          <a:ln w="9525">
                            <a:noFill/>
                            <a:round/>
                            <a:headEnd/>
                            <a:tailEnd/>
                          </a:ln>
                        </wps:spPr>
                        <wps:bodyPr>
                          <a:prstTxWarp prst="textNoShape">
                            <a:avLst/>
                          </a:prstTxWarp>
                        </wps:bodyPr>
                      </wps:wsp>
                      <wps:wsp>
                        <wps:cNvPr id="2047755164" name="Freeform 57"/>
                        <wps:cNvSpPr>
                          <a:spLocks/>
                        </wps:cNvSpPr>
                        <wps:spPr bwMode="auto">
                          <a:xfrm>
                            <a:off x="2550732" y="1033463"/>
                            <a:ext cx="1239970" cy="2079625"/>
                          </a:xfrm>
                          <a:custGeom>
                            <a:avLst/>
                            <a:gdLst/>
                            <a:ahLst/>
                            <a:cxnLst>
                              <a:cxn ang="0">
                                <a:pos x="1574" y="2924"/>
                              </a:cxn>
                              <a:cxn ang="0">
                                <a:pos x="0" y="56"/>
                              </a:cxn>
                              <a:cxn ang="0">
                                <a:pos x="290" y="0"/>
                              </a:cxn>
                              <a:cxn ang="0">
                                <a:pos x="1844" y="2830"/>
                              </a:cxn>
                              <a:cxn ang="0">
                                <a:pos x="1574" y="2924"/>
                              </a:cxn>
                            </a:cxnLst>
                            <a:rect l="0" t="0" r="r" b="b"/>
                            <a:pathLst>
                              <a:path w="1844" h="2924">
                                <a:moveTo>
                                  <a:pt x="1574" y="2924"/>
                                </a:moveTo>
                                <a:lnTo>
                                  <a:pt x="0" y="56"/>
                                </a:lnTo>
                                <a:lnTo>
                                  <a:pt x="290" y="0"/>
                                </a:lnTo>
                                <a:lnTo>
                                  <a:pt x="1844" y="2830"/>
                                </a:lnTo>
                                <a:lnTo>
                                  <a:pt x="1574" y="2924"/>
                                </a:lnTo>
                                <a:close/>
                              </a:path>
                            </a:pathLst>
                          </a:custGeom>
                          <a:solidFill>
                            <a:srgbClr val="9E9D9C"/>
                          </a:solidFill>
                          <a:ln w="9525">
                            <a:noFill/>
                            <a:round/>
                            <a:headEnd/>
                            <a:tailEnd/>
                          </a:ln>
                        </wps:spPr>
                        <wps:bodyPr>
                          <a:prstTxWarp prst="textNoShape">
                            <a:avLst/>
                          </a:prstTxWarp>
                        </wps:bodyPr>
                      </wps:wsp>
                      <wps:wsp>
                        <wps:cNvPr id="2047755165" name="Freeform 58"/>
                        <wps:cNvSpPr>
                          <a:spLocks/>
                        </wps:cNvSpPr>
                        <wps:spPr bwMode="auto">
                          <a:xfrm>
                            <a:off x="2647041" y="1012826"/>
                            <a:ext cx="1233091" cy="2066925"/>
                          </a:xfrm>
                          <a:custGeom>
                            <a:avLst/>
                            <a:gdLst/>
                            <a:ahLst/>
                            <a:cxnLst>
                              <a:cxn ang="0">
                                <a:pos x="1563" y="2905"/>
                              </a:cxn>
                              <a:cxn ang="0">
                                <a:pos x="0" y="56"/>
                              </a:cxn>
                              <a:cxn ang="0">
                                <a:pos x="288" y="0"/>
                              </a:cxn>
                              <a:cxn ang="0">
                                <a:pos x="1833" y="2812"/>
                              </a:cxn>
                              <a:cxn ang="0">
                                <a:pos x="1563" y="2905"/>
                              </a:cxn>
                            </a:cxnLst>
                            <a:rect l="0" t="0" r="r" b="b"/>
                            <a:pathLst>
                              <a:path w="1833" h="2905">
                                <a:moveTo>
                                  <a:pt x="1563" y="2905"/>
                                </a:moveTo>
                                <a:lnTo>
                                  <a:pt x="0" y="56"/>
                                </a:lnTo>
                                <a:lnTo>
                                  <a:pt x="288" y="0"/>
                                </a:lnTo>
                                <a:lnTo>
                                  <a:pt x="1833" y="2812"/>
                                </a:lnTo>
                                <a:lnTo>
                                  <a:pt x="1563" y="2905"/>
                                </a:lnTo>
                                <a:close/>
                              </a:path>
                            </a:pathLst>
                          </a:custGeom>
                          <a:solidFill>
                            <a:srgbClr val="9D9C9B"/>
                          </a:solidFill>
                          <a:ln w="9525">
                            <a:noFill/>
                            <a:round/>
                            <a:headEnd/>
                            <a:tailEnd/>
                          </a:ln>
                        </wps:spPr>
                        <wps:bodyPr>
                          <a:prstTxWarp prst="textNoShape">
                            <a:avLst/>
                          </a:prstTxWarp>
                        </wps:bodyPr>
                      </wps:wsp>
                      <wps:wsp>
                        <wps:cNvPr id="2047755166" name="Freeform 59"/>
                        <wps:cNvSpPr>
                          <a:spLocks/>
                        </wps:cNvSpPr>
                        <wps:spPr bwMode="auto">
                          <a:xfrm>
                            <a:off x="2746789" y="993776"/>
                            <a:ext cx="1222772" cy="2052637"/>
                          </a:xfrm>
                          <a:custGeom>
                            <a:avLst/>
                            <a:gdLst/>
                            <a:ahLst/>
                            <a:cxnLst>
                              <a:cxn ang="0">
                                <a:pos x="1554" y="2886"/>
                              </a:cxn>
                              <a:cxn ang="0">
                                <a:pos x="0" y="56"/>
                              </a:cxn>
                              <a:cxn ang="0">
                                <a:pos x="288" y="0"/>
                              </a:cxn>
                              <a:cxn ang="0">
                                <a:pos x="1822" y="2793"/>
                              </a:cxn>
                              <a:cxn ang="0">
                                <a:pos x="1554" y="2886"/>
                              </a:cxn>
                            </a:cxnLst>
                            <a:rect l="0" t="0" r="r" b="b"/>
                            <a:pathLst>
                              <a:path w="1822" h="2886">
                                <a:moveTo>
                                  <a:pt x="1554" y="2886"/>
                                </a:moveTo>
                                <a:lnTo>
                                  <a:pt x="0" y="56"/>
                                </a:lnTo>
                                <a:lnTo>
                                  <a:pt x="288" y="0"/>
                                </a:lnTo>
                                <a:lnTo>
                                  <a:pt x="1822" y="2793"/>
                                </a:lnTo>
                                <a:lnTo>
                                  <a:pt x="1554" y="2886"/>
                                </a:lnTo>
                                <a:close/>
                              </a:path>
                            </a:pathLst>
                          </a:custGeom>
                          <a:solidFill>
                            <a:srgbClr val="9C9B9B"/>
                          </a:solidFill>
                          <a:ln w="9525">
                            <a:noFill/>
                            <a:round/>
                            <a:headEnd/>
                            <a:tailEnd/>
                          </a:ln>
                        </wps:spPr>
                        <wps:bodyPr>
                          <a:prstTxWarp prst="textNoShape">
                            <a:avLst/>
                          </a:prstTxWarp>
                        </wps:bodyPr>
                      </wps:wsp>
                      <wps:wsp>
                        <wps:cNvPr id="2047755167" name="Freeform 60"/>
                        <wps:cNvSpPr>
                          <a:spLocks/>
                        </wps:cNvSpPr>
                        <wps:spPr bwMode="auto">
                          <a:xfrm>
                            <a:off x="2841378" y="973137"/>
                            <a:ext cx="1219332" cy="2039938"/>
                          </a:xfrm>
                          <a:custGeom>
                            <a:avLst/>
                            <a:gdLst/>
                            <a:ahLst/>
                            <a:cxnLst>
                              <a:cxn ang="0">
                                <a:pos x="1545" y="2868"/>
                              </a:cxn>
                              <a:cxn ang="0">
                                <a:pos x="0" y="56"/>
                              </a:cxn>
                              <a:cxn ang="0">
                                <a:pos x="290" y="0"/>
                              </a:cxn>
                              <a:cxn ang="0">
                                <a:pos x="1813" y="2775"/>
                              </a:cxn>
                              <a:cxn ang="0">
                                <a:pos x="1545" y="2868"/>
                              </a:cxn>
                            </a:cxnLst>
                            <a:rect l="0" t="0" r="r" b="b"/>
                            <a:pathLst>
                              <a:path w="1813" h="2868">
                                <a:moveTo>
                                  <a:pt x="1545" y="2868"/>
                                </a:moveTo>
                                <a:lnTo>
                                  <a:pt x="0" y="56"/>
                                </a:lnTo>
                                <a:lnTo>
                                  <a:pt x="290" y="0"/>
                                </a:lnTo>
                                <a:lnTo>
                                  <a:pt x="1813" y="2775"/>
                                </a:lnTo>
                                <a:lnTo>
                                  <a:pt x="1545" y="2868"/>
                                </a:lnTo>
                                <a:close/>
                              </a:path>
                            </a:pathLst>
                          </a:custGeom>
                          <a:solidFill>
                            <a:srgbClr val="9B9A9A"/>
                          </a:solidFill>
                          <a:ln w="9525">
                            <a:noFill/>
                            <a:round/>
                            <a:headEnd/>
                            <a:tailEnd/>
                          </a:ln>
                        </wps:spPr>
                        <wps:bodyPr>
                          <a:prstTxWarp prst="textNoShape">
                            <a:avLst/>
                          </a:prstTxWarp>
                        </wps:bodyPr>
                      </wps:wsp>
                      <wps:wsp>
                        <wps:cNvPr id="2047755168" name="Freeform 61"/>
                        <wps:cNvSpPr>
                          <a:spLocks/>
                        </wps:cNvSpPr>
                        <wps:spPr bwMode="auto">
                          <a:xfrm>
                            <a:off x="2939405" y="954087"/>
                            <a:ext cx="1210733" cy="2027238"/>
                          </a:xfrm>
                          <a:custGeom>
                            <a:avLst/>
                            <a:gdLst/>
                            <a:ahLst/>
                            <a:cxnLst>
                              <a:cxn ang="0">
                                <a:pos x="1534" y="2850"/>
                              </a:cxn>
                              <a:cxn ang="0">
                                <a:pos x="0" y="57"/>
                              </a:cxn>
                              <a:cxn ang="0">
                                <a:pos x="288" y="0"/>
                              </a:cxn>
                              <a:cxn ang="0">
                                <a:pos x="1802" y="2757"/>
                              </a:cxn>
                              <a:cxn ang="0">
                                <a:pos x="1534" y="2850"/>
                              </a:cxn>
                            </a:cxnLst>
                            <a:rect l="0" t="0" r="r" b="b"/>
                            <a:pathLst>
                              <a:path w="1802" h="2850">
                                <a:moveTo>
                                  <a:pt x="1534" y="2850"/>
                                </a:moveTo>
                                <a:lnTo>
                                  <a:pt x="0" y="57"/>
                                </a:lnTo>
                                <a:lnTo>
                                  <a:pt x="288" y="0"/>
                                </a:lnTo>
                                <a:lnTo>
                                  <a:pt x="1802" y="2757"/>
                                </a:lnTo>
                                <a:lnTo>
                                  <a:pt x="1534" y="2850"/>
                                </a:lnTo>
                                <a:close/>
                              </a:path>
                            </a:pathLst>
                          </a:custGeom>
                          <a:solidFill>
                            <a:srgbClr val="9B9A99"/>
                          </a:solidFill>
                          <a:ln w="9525">
                            <a:noFill/>
                            <a:round/>
                            <a:headEnd/>
                            <a:tailEnd/>
                          </a:ln>
                        </wps:spPr>
                        <wps:bodyPr>
                          <a:prstTxWarp prst="textNoShape">
                            <a:avLst/>
                          </a:prstTxWarp>
                        </wps:bodyPr>
                      </wps:wsp>
                      <wps:wsp>
                        <wps:cNvPr id="2047755169" name="Freeform 62"/>
                        <wps:cNvSpPr>
                          <a:spLocks/>
                        </wps:cNvSpPr>
                        <wps:spPr bwMode="auto">
                          <a:xfrm>
                            <a:off x="3035713" y="931862"/>
                            <a:ext cx="1203854" cy="2014538"/>
                          </a:xfrm>
                          <a:custGeom>
                            <a:avLst/>
                            <a:gdLst/>
                            <a:ahLst/>
                            <a:cxnLst>
                              <a:cxn ang="0">
                                <a:pos x="1523" y="2832"/>
                              </a:cxn>
                              <a:cxn ang="0">
                                <a:pos x="0" y="57"/>
                              </a:cxn>
                              <a:cxn ang="0">
                                <a:pos x="288" y="0"/>
                              </a:cxn>
                              <a:cxn ang="0">
                                <a:pos x="1791" y="2738"/>
                              </a:cxn>
                              <a:cxn ang="0">
                                <a:pos x="1523" y="2832"/>
                              </a:cxn>
                            </a:cxnLst>
                            <a:rect l="0" t="0" r="r" b="b"/>
                            <a:pathLst>
                              <a:path w="1791" h="2832">
                                <a:moveTo>
                                  <a:pt x="1523" y="2832"/>
                                </a:moveTo>
                                <a:lnTo>
                                  <a:pt x="0" y="57"/>
                                </a:lnTo>
                                <a:lnTo>
                                  <a:pt x="288" y="0"/>
                                </a:lnTo>
                                <a:lnTo>
                                  <a:pt x="1791" y="2738"/>
                                </a:lnTo>
                                <a:lnTo>
                                  <a:pt x="1523" y="2832"/>
                                </a:lnTo>
                                <a:close/>
                              </a:path>
                            </a:pathLst>
                          </a:custGeom>
                          <a:solidFill>
                            <a:srgbClr val="9A9998"/>
                          </a:solidFill>
                          <a:ln w="9525">
                            <a:noFill/>
                            <a:round/>
                            <a:headEnd/>
                            <a:tailEnd/>
                          </a:ln>
                        </wps:spPr>
                        <wps:bodyPr>
                          <a:prstTxWarp prst="textNoShape">
                            <a:avLst/>
                          </a:prstTxWarp>
                        </wps:bodyPr>
                      </wps:wsp>
                      <wps:wsp>
                        <wps:cNvPr id="2047755170" name="Freeform 63"/>
                        <wps:cNvSpPr>
                          <a:spLocks/>
                        </wps:cNvSpPr>
                        <wps:spPr bwMode="auto">
                          <a:xfrm>
                            <a:off x="3133742" y="912812"/>
                            <a:ext cx="1196975" cy="2001838"/>
                          </a:xfrm>
                          <a:custGeom>
                            <a:avLst/>
                            <a:gdLst/>
                            <a:ahLst/>
                            <a:cxnLst>
                              <a:cxn ang="0">
                                <a:pos x="1514" y="2813"/>
                              </a:cxn>
                              <a:cxn ang="0">
                                <a:pos x="0" y="56"/>
                              </a:cxn>
                              <a:cxn ang="0">
                                <a:pos x="290" y="0"/>
                              </a:cxn>
                              <a:cxn ang="0">
                                <a:pos x="1782" y="2719"/>
                              </a:cxn>
                              <a:cxn ang="0">
                                <a:pos x="1514" y="2813"/>
                              </a:cxn>
                            </a:cxnLst>
                            <a:rect l="0" t="0" r="r" b="b"/>
                            <a:pathLst>
                              <a:path w="1782" h="2813">
                                <a:moveTo>
                                  <a:pt x="1514" y="2813"/>
                                </a:moveTo>
                                <a:lnTo>
                                  <a:pt x="0" y="56"/>
                                </a:lnTo>
                                <a:lnTo>
                                  <a:pt x="290" y="0"/>
                                </a:lnTo>
                                <a:lnTo>
                                  <a:pt x="1782" y="2719"/>
                                </a:lnTo>
                                <a:lnTo>
                                  <a:pt x="1514" y="2813"/>
                                </a:lnTo>
                                <a:close/>
                              </a:path>
                            </a:pathLst>
                          </a:custGeom>
                          <a:solidFill>
                            <a:srgbClr val="999897"/>
                          </a:solidFill>
                          <a:ln w="9525">
                            <a:noFill/>
                            <a:round/>
                            <a:headEnd/>
                            <a:tailEnd/>
                          </a:ln>
                        </wps:spPr>
                        <wps:bodyPr>
                          <a:prstTxWarp prst="textNoShape">
                            <a:avLst/>
                          </a:prstTxWarp>
                        </wps:bodyPr>
                      </wps:wsp>
                      <wps:wsp>
                        <wps:cNvPr id="2047755171" name="Freeform 64"/>
                        <wps:cNvSpPr>
                          <a:spLocks/>
                        </wps:cNvSpPr>
                        <wps:spPr bwMode="auto">
                          <a:xfrm>
                            <a:off x="3230050" y="893762"/>
                            <a:ext cx="1190096" cy="1987550"/>
                          </a:xfrm>
                          <a:custGeom>
                            <a:avLst/>
                            <a:gdLst/>
                            <a:ahLst/>
                            <a:cxnLst>
                              <a:cxn ang="0">
                                <a:pos x="1503" y="2794"/>
                              </a:cxn>
                              <a:cxn ang="0">
                                <a:pos x="0" y="56"/>
                              </a:cxn>
                              <a:cxn ang="0">
                                <a:pos x="288" y="0"/>
                              </a:cxn>
                              <a:cxn ang="0">
                                <a:pos x="1771" y="2700"/>
                              </a:cxn>
                              <a:cxn ang="0">
                                <a:pos x="1503" y="2794"/>
                              </a:cxn>
                            </a:cxnLst>
                            <a:rect l="0" t="0" r="r" b="b"/>
                            <a:pathLst>
                              <a:path w="1771" h="2794">
                                <a:moveTo>
                                  <a:pt x="1503" y="2794"/>
                                </a:moveTo>
                                <a:lnTo>
                                  <a:pt x="0" y="56"/>
                                </a:lnTo>
                                <a:lnTo>
                                  <a:pt x="288" y="0"/>
                                </a:lnTo>
                                <a:lnTo>
                                  <a:pt x="1771" y="2700"/>
                                </a:lnTo>
                                <a:lnTo>
                                  <a:pt x="1503" y="2794"/>
                                </a:lnTo>
                                <a:close/>
                              </a:path>
                            </a:pathLst>
                          </a:custGeom>
                          <a:solidFill>
                            <a:srgbClr val="989797"/>
                          </a:solidFill>
                          <a:ln w="9525">
                            <a:noFill/>
                            <a:round/>
                            <a:headEnd/>
                            <a:tailEnd/>
                          </a:ln>
                        </wps:spPr>
                        <wps:bodyPr>
                          <a:prstTxWarp prst="textNoShape">
                            <a:avLst/>
                          </a:prstTxWarp>
                        </wps:bodyPr>
                      </wps:wsp>
                      <wps:wsp>
                        <wps:cNvPr id="2047755172" name="Freeform 65"/>
                        <wps:cNvSpPr>
                          <a:spLocks/>
                        </wps:cNvSpPr>
                        <wps:spPr bwMode="auto">
                          <a:xfrm>
                            <a:off x="3326359" y="873125"/>
                            <a:ext cx="1184936" cy="1973262"/>
                          </a:xfrm>
                          <a:custGeom>
                            <a:avLst/>
                            <a:gdLst/>
                            <a:ahLst/>
                            <a:cxnLst>
                              <a:cxn ang="0">
                                <a:pos x="1492" y="2775"/>
                              </a:cxn>
                              <a:cxn ang="0">
                                <a:pos x="0" y="56"/>
                              </a:cxn>
                              <a:cxn ang="0">
                                <a:pos x="288" y="0"/>
                              </a:cxn>
                              <a:cxn ang="0">
                                <a:pos x="1761" y="2681"/>
                              </a:cxn>
                              <a:cxn ang="0">
                                <a:pos x="1492" y="2775"/>
                              </a:cxn>
                            </a:cxnLst>
                            <a:rect l="0" t="0" r="r" b="b"/>
                            <a:pathLst>
                              <a:path w="1761" h="2775">
                                <a:moveTo>
                                  <a:pt x="1492" y="2775"/>
                                </a:moveTo>
                                <a:lnTo>
                                  <a:pt x="0" y="56"/>
                                </a:lnTo>
                                <a:lnTo>
                                  <a:pt x="288" y="0"/>
                                </a:lnTo>
                                <a:lnTo>
                                  <a:pt x="1761" y="2681"/>
                                </a:lnTo>
                                <a:lnTo>
                                  <a:pt x="1492" y="2775"/>
                                </a:lnTo>
                                <a:close/>
                              </a:path>
                            </a:pathLst>
                          </a:custGeom>
                          <a:solidFill>
                            <a:srgbClr val="979696"/>
                          </a:solidFill>
                          <a:ln w="9525">
                            <a:noFill/>
                            <a:round/>
                            <a:headEnd/>
                            <a:tailEnd/>
                          </a:ln>
                        </wps:spPr>
                        <wps:bodyPr>
                          <a:prstTxWarp prst="textNoShape">
                            <a:avLst/>
                          </a:prstTxWarp>
                        </wps:bodyPr>
                      </wps:wsp>
                      <wps:wsp>
                        <wps:cNvPr id="2047755173" name="Freeform 66"/>
                        <wps:cNvSpPr>
                          <a:spLocks/>
                        </wps:cNvSpPr>
                        <wps:spPr bwMode="auto">
                          <a:xfrm>
                            <a:off x="3424386" y="854075"/>
                            <a:ext cx="1176338" cy="1960562"/>
                          </a:xfrm>
                          <a:custGeom>
                            <a:avLst/>
                            <a:gdLst/>
                            <a:ahLst/>
                            <a:cxnLst>
                              <a:cxn ang="0">
                                <a:pos x="1483" y="2756"/>
                              </a:cxn>
                              <a:cxn ang="0">
                                <a:pos x="0" y="56"/>
                              </a:cxn>
                              <a:cxn ang="0">
                                <a:pos x="290" y="0"/>
                              </a:cxn>
                              <a:cxn ang="0">
                                <a:pos x="1752" y="2662"/>
                              </a:cxn>
                              <a:cxn ang="0">
                                <a:pos x="1483" y="2756"/>
                              </a:cxn>
                            </a:cxnLst>
                            <a:rect l="0" t="0" r="r" b="b"/>
                            <a:pathLst>
                              <a:path w="1752" h="2756">
                                <a:moveTo>
                                  <a:pt x="1483" y="2756"/>
                                </a:moveTo>
                                <a:lnTo>
                                  <a:pt x="0" y="56"/>
                                </a:lnTo>
                                <a:lnTo>
                                  <a:pt x="290" y="0"/>
                                </a:lnTo>
                                <a:lnTo>
                                  <a:pt x="1752" y="2662"/>
                                </a:lnTo>
                                <a:lnTo>
                                  <a:pt x="1483" y="2756"/>
                                </a:lnTo>
                                <a:close/>
                              </a:path>
                            </a:pathLst>
                          </a:custGeom>
                          <a:solidFill>
                            <a:srgbClr val="969595"/>
                          </a:solidFill>
                          <a:ln w="9525">
                            <a:noFill/>
                            <a:round/>
                            <a:headEnd/>
                            <a:tailEnd/>
                          </a:ln>
                        </wps:spPr>
                        <wps:bodyPr>
                          <a:prstTxWarp prst="textNoShape">
                            <a:avLst/>
                          </a:prstTxWarp>
                        </wps:bodyPr>
                      </wps:wsp>
                      <wps:wsp>
                        <wps:cNvPr id="2047755174" name="Freeform 67"/>
                        <wps:cNvSpPr>
                          <a:spLocks/>
                        </wps:cNvSpPr>
                        <wps:spPr bwMode="auto">
                          <a:xfrm>
                            <a:off x="3520694" y="835026"/>
                            <a:ext cx="1171179" cy="1944687"/>
                          </a:xfrm>
                          <a:custGeom>
                            <a:avLst/>
                            <a:gdLst/>
                            <a:ahLst/>
                            <a:cxnLst>
                              <a:cxn ang="0">
                                <a:pos x="1473" y="2737"/>
                              </a:cxn>
                              <a:cxn ang="0">
                                <a:pos x="0" y="56"/>
                              </a:cxn>
                              <a:cxn ang="0">
                                <a:pos x="290" y="0"/>
                              </a:cxn>
                              <a:cxn ang="0">
                                <a:pos x="1741" y="2644"/>
                              </a:cxn>
                              <a:cxn ang="0">
                                <a:pos x="1473" y="2737"/>
                              </a:cxn>
                            </a:cxnLst>
                            <a:rect l="0" t="0" r="r" b="b"/>
                            <a:pathLst>
                              <a:path w="1741" h="2737">
                                <a:moveTo>
                                  <a:pt x="1473" y="2737"/>
                                </a:moveTo>
                                <a:lnTo>
                                  <a:pt x="0" y="56"/>
                                </a:lnTo>
                                <a:lnTo>
                                  <a:pt x="290" y="0"/>
                                </a:lnTo>
                                <a:lnTo>
                                  <a:pt x="1741" y="2644"/>
                                </a:lnTo>
                                <a:lnTo>
                                  <a:pt x="1473" y="2737"/>
                                </a:lnTo>
                                <a:close/>
                              </a:path>
                            </a:pathLst>
                          </a:custGeom>
                          <a:solidFill>
                            <a:srgbClr val="959493"/>
                          </a:solidFill>
                          <a:ln w="9525">
                            <a:noFill/>
                            <a:round/>
                            <a:headEnd/>
                            <a:tailEnd/>
                          </a:ln>
                        </wps:spPr>
                        <wps:bodyPr>
                          <a:prstTxWarp prst="textNoShape">
                            <a:avLst/>
                          </a:prstTxWarp>
                        </wps:bodyPr>
                      </wps:wsp>
                      <wps:wsp>
                        <wps:cNvPr id="2047755175" name="Freeform 68"/>
                        <wps:cNvSpPr>
                          <a:spLocks/>
                        </wps:cNvSpPr>
                        <wps:spPr bwMode="auto">
                          <a:xfrm>
                            <a:off x="3618723" y="812801"/>
                            <a:ext cx="1162579" cy="1933575"/>
                          </a:xfrm>
                          <a:custGeom>
                            <a:avLst/>
                            <a:gdLst/>
                            <a:ahLst/>
                            <a:cxnLst>
                              <a:cxn ang="0">
                                <a:pos x="1462" y="2719"/>
                              </a:cxn>
                              <a:cxn ang="0">
                                <a:pos x="0" y="57"/>
                              </a:cxn>
                              <a:cxn ang="0">
                                <a:pos x="288" y="0"/>
                              </a:cxn>
                              <a:cxn ang="0">
                                <a:pos x="1730" y="2627"/>
                              </a:cxn>
                              <a:cxn ang="0">
                                <a:pos x="1462" y="2719"/>
                              </a:cxn>
                            </a:cxnLst>
                            <a:rect l="0" t="0" r="r" b="b"/>
                            <a:pathLst>
                              <a:path w="1730" h="2719">
                                <a:moveTo>
                                  <a:pt x="1462" y="2719"/>
                                </a:moveTo>
                                <a:lnTo>
                                  <a:pt x="0" y="57"/>
                                </a:lnTo>
                                <a:lnTo>
                                  <a:pt x="288" y="0"/>
                                </a:lnTo>
                                <a:lnTo>
                                  <a:pt x="1730" y="2627"/>
                                </a:lnTo>
                                <a:lnTo>
                                  <a:pt x="1462" y="2719"/>
                                </a:lnTo>
                                <a:close/>
                              </a:path>
                            </a:pathLst>
                          </a:custGeom>
                          <a:solidFill>
                            <a:srgbClr val="949393"/>
                          </a:solidFill>
                          <a:ln w="9525">
                            <a:noFill/>
                            <a:round/>
                            <a:headEnd/>
                            <a:tailEnd/>
                          </a:ln>
                        </wps:spPr>
                        <wps:bodyPr>
                          <a:prstTxWarp prst="textNoShape">
                            <a:avLst/>
                          </a:prstTxWarp>
                        </wps:bodyPr>
                      </wps:wsp>
                      <wps:wsp>
                        <wps:cNvPr id="2047755176" name="Freeform 69"/>
                        <wps:cNvSpPr>
                          <a:spLocks/>
                        </wps:cNvSpPr>
                        <wps:spPr bwMode="auto">
                          <a:xfrm>
                            <a:off x="3716751" y="793751"/>
                            <a:ext cx="1153981" cy="1920875"/>
                          </a:xfrm>
                          <a:custGeom>
                            <a:avLst/>
                            <a:gdLst/>
                            <a:ahLst/>
                            <a:cxnLst>
                              <a:cxn ang="0">
                                <a:pos x="1451" y="2701"/>
                              </a:cxn>
                              <a:cxn ang="0">
                                <a:pos x="0" y="57"/>
                              </a:cxn>
                              <a:cxn ang="0">
                                <a:pos x="288" y="0"/>
                              </a:cxn>
                              <a:cxn ang="0">
                                <a:pos x="1719" y="2608"/>
                              </a:cxn>
                              <a:cxn ang="0">
                                <a:pos x="1451" y="2701"/>
                              </a:cxn>
                            </a:cxnLst>
                            <a:rect l="0" t="0" r="r" b="b"/>
                            <a:pathLst>
                              <a:path w="1719" h="2701">
                                <a:moveTo>
                                  <a:pt x="1451" y="2701"/>
                                </a:moveTo>
                                <a:lnTo>
                                  <a:pt x="0" y="57"/>
                                </a:lnTo>
                                <a:lnTo>
                                  <a:pt x="288" y="0"/>
                                </a:lnTo>
                                <a:lnTo>
                                  <a:pt x="1719" y="2608"/>
                                </a:lnTo>
                                <a:lnTo>
                                  <a:pt x="1451" y="2701"/>
                                </a:lnTo>
                                <a:close/>
                              </a:path>
                            </a:pathLst>
                          </a:custGeom>
                          <a:solidFill>
                            <a:srgbClr val="949292"/>
                          </a:solidFill>
                          <a:ln w="9525">
                            <a:noFill/>
                            <a:round/>
                            <a:headEnd/>
                            <a:tailEnd/>
                          </a:ln>
                        </wps:spPr>
                        <wps:bodyPr>
                          <a:prstTxWarp prst="textNoShape">
                            <a:avLst/>
                          </a:prstTxWarp>
                        </wps:bodyPr>
                      </wps:wsp>
                      <wps:wsp>
                        <wps:cNvPr id="2047755177" name="Freeform 70"/>
                        <wps:cNvSpPr>
                          <a:spLocks/>
                        </wps:cNvSpPr>
                        <wps:spPr bwMode="auto">
                          <a:xfrm>
                            <a:off x="3813059" y="773113"/>
                            <a:ext cx="1148821" cy="1909763"/>
                          </a:xfrm>
                          <a:custGeom>
                            <a:avLst/>
                            <a:gdLst/>
                            <a:ahLst/>
                            <a:cxnLst>
                              <a:cxn ang="0">
                                <a:pos x="1442" y="2683"/>
                              </a:cxn>
                              <a:cxn ang="0">
                                <a:pos x="0" y="56"/>
                              </a:cxn>
                              <a:cxn ang="0">
                                <a:pos x="290" y="0"/>
                              </a:cxn>
                              <a:cxn ang="0">
                                <a:pos x="1710" y="2589"/>
                              </a:cxn>
                              <a:cxn ang="0">
                                <a:pos x="1442" y="2683"/>
                              </a:cxn>
                            </a:cxnLst>
                            <a:rect l="0" t="0" r="r" b="b"/>
                            <a:pathLst>
                              <a:path w="1710" h="2683">
                                <a:moveTo>
                                  <a:pt x="1442" y="2683"/>
                                </a:moveTo>
                                <a:lnTo>
                                  <a:pt x="0" y="56"/>
                                </a:lnTo>
                                <a:lnTo>
                                  <a:pt x="290" y="0"/>
                                </a:lnTo>
                                <a:lnTo>
                                  <a:pt x="1710" y="2589"/>
                                </a:lnTo>
                                <a:lnTo>
                                  <a:pt x="1442" y="2683"/>
                                </a:lnTo>
                                <a:close/>
                              </a:path>
                            </a:pathLst>
                          </a:custGeom>
                          <a:solidFill>
                            <a:srgbClr val="939291"/>
                          </a:solidFill>
                          <a:ln w="9525">
                            <a:noFill/>
                            <a:round/>
                            <a:headEnd/>
                            <a:tailEnd/>
                          </a:ln>
                        </wps:spPr>
                        <wps:bodyPr>
                          <a:prstTxWarp prst="textNoShape">
                            <a:avLst/>
                          </a:prstTxWarp>
                        </wps:bodyPr>
                      </wps:wsp>
                      <wps:wsp>
                        <wps:cNvPr id="2047755178" name="Freeform 71"/>
                        <wps:cNvSpPr>
                          <a:spLocks/>
                        </wps:cNvSpPr>
                        <wps:spPr bwMode="auto">
                          <a:xfrm>
                            <a:off x="3909367" y="752475"/>
                            <a:ext cx="1141942" cy="1895475"/>
                          </a:xfrm>
                          <a:custGeom>
                            <a:avLst/>
                            <a:gdLst/>
                            <a:ahLst/>
                            <a:cxnLst>
                              <a:cxn ang="0">
                                <a:pos x="1431" y="2664"/>
                              </a:cxn>
                              <a:cxn ang="0">
                                <a:pos x="0" y="56"/>
                              </a:cxn>
                              <a:cxn ang="0">
                                <a:pos x="288" y="0"/>
                              </a:cxn>
                              <a:cxn ang="0">
                                <a:pos x="1699" y="2570"/>
                              </a:cxn>
                              <a:cxn ang="0">
                                <a:pos x="1431" y="2664"/>
                              </a:cxn>
                            </a:cxnLst>
                            <a:rect l="0" t="0" r="r" b="b"/>
                            <a:pathLst>
                              <a:path w="1699" h="2664">
                                <a:moveTo>
                                  <a:pt x="1431" y="2664"/>
                                </a:moveTo>
                                <a:lnTo>
                                  <a:pt x="0" y="56"/>
                                </a:lnTo>
                                <a:lnTo>
                                  <a:pt x="288" y="0"/>
                                </a:lnTo>
                                <a:lnTo>
                                  <a:pt x="1699" y="2570"/>
                                </a:lnTo>
                                <a:lnTo>
                                  <a:pt x="1431" y="2664"/>
                                </a:lnTo>
                                <a:close/>
                              </a:path>
                            </a:pathLst>
                          </a:custGeom>
                          <a:solidFill>
                            <a:srgbClr val="929190"/>
                          </a:solidFill>
                          <a:ln w="9525">
                            <a:noFill/>
                            <a:round/>
                            <a:headEnd/>
                            <a:tailEnd/>
                          </a:ln>
                        </wps:spPr>
                        <wps:bodyPr>
                          <a:prstTxWarp prst="textNoShape">
                            <a:avLst/>
                          </a:prstTxWarp>
                        </wps:bodyPr>
                      </wps:wsp>
                      <wps:wsp>
                        <wps:cNvPr id="2047755179" name="Freeform 72"/>
                        <wps:cNvSpPr>
                          <a:spLocks/>
                        </wps:cNvSpPr>
                        <wps:spPr bwMode="auto">
                          <a:xfrm>
                            <a:off x="4005676" y="733425"/>
                            <a:ext cx="1136783" cy="1881187"/>
                          </a:xfrm>
                          <a:custGeom>
                            <a:avLst/>
                            <a:gdLst/>
                            <a:ahLst/>
                            <a:cxnLst>
                              <a:cxn ang="0">
                                <a:pos x="1420" y="2645"/>
                              </a:cxn>
                              <a:cxn ang="0">
                                <a:pos x="0" y="56"/>
                              </a:cxn>
                              <a:cxn ang="0">
                                <a:pos x="288" y="0"/>
                              </a:cxn>
                              <a:cxn ang="0">
                                <a:pos x="1688" y="2551"/>
                              </a:cxn>
                              <a:cxn ang="0">
                                <a:pos x="1420" y="2645"/>
                              </a:cxn>
                            </a:cxnLst>
                            <a:rect l="0" t="0" r="r" b="b"/>
                            <a:pathLst>
                              <a:path w="1688" h="2645">
                                <a:moveTo>
                                  <a:pt x="1420" y="2645"/>
                                </a:moveTo>
                                <a:lnTo>
                                  <a:pt x="0" y="56"/>
                                </a:lnTo>
                                <a:lnTo>
                                  <a:pt x="288" y="0"/>
                                </a:lnTo>
                                <a:lnTo>
                                  <a:pt x="1688" y="2551"/>
                                </a:lnTo>
                                <a:lnTo>
                                  <a:pt x="1420" y="2645"/>
                                </a:lnTo>
                                <a:close/>
                              </a:path>
                            </a:pathLst>
                          </a:custGeom>
                          <a:solidFill>
                            <a:srgbClr val="919090"/>
                          </a:solidFill>
                          <a:ln w="9525">
                            <a:noFill/>
                            <a:round/>
                            <a:headEnd/>
                            <a:tailEnd/>
                          </a:ln>
                        </wps:spPr>
                        <wps:bodyPr>
                          <a:prstTxWarp prst="textNoShape">
                            <a:avLst/>
                          </a:prstTxWarp>
                        </wps:bodyPr>
                      </wps:wsp>
                      <wps:wsp>
                        <wps:cNvPr id="2047755180" name="Freeform 73"/>
                        <wps:cNvSpPr>
                          <a:spLocks/>
                        </wps:cNvSpPr>
                        <wps:spPr bwMode="auto">
                          <a:xfrm>
                            <a:off x="4103705" y="712787"/>
                            <a:ext cx="1128183" cy="1868488"/>
                          </a:xfrm>
                          <a:custGeom>
                            <a:avLst/>
                            <a:gdLst/>
                            <a:ahLst/>
                            <a:cxnLst>
                              <a:cxn ang="0">
                                <a:pos x="1411" y="2626"/>
                              </a:cxn>
                              <a:cxn ang="0">
                                <a:pos x="0" y="56"/>
                              </a:cxn>
                              <a:cxn ang="0">
                                <a:pos x="290" y="0"/>
                              </a:cxn>
                              <a:cxn ang="0">
                                <a:pos x="1681" y="2532"/>
                              </a:cxn>
                              <a:cxn ang="0">
                                <a:pos x="1411" y="2626"/>
                              </a:cxn>
                            </a:cxnLst>
                            <a:rect l="0" t="0" r="r" b="b"/>
                            <a:pathLst>
                              <a:path w="1681" h="2626">
                                <a:moveTo>
                                  <a:pt x="1411" y="2626"/>
                                </a:moveTo>
                                <a:lnTo>
                                  <a:pt x="0" y="56"/>
                                </a:lnTo>
                                <a:lnTo>
                                  <a:pt x="290" y="0"/>
                                </a:lnTo>
                                <a:lnTo>
                                  <a:pt x="1681" y="2532"/>
                                </a:lnTo>
                                <a:lnTo>
                                  <a:pt x="1411" y="2626"/>
                                </a:lnTo>
                                <a:close/>
                              </a:path>
                            </a:pathLst>
                          </a:custGeom>
                          <a:solidFill>
                            <a:srgbClr val="91908F"/>
                          </a:solidFill>
                          <a:ln w="9525">
                            <a:noFill/>
                            <a:round/>
                            <a:headEnd/>
                            <a:tailEnd/>
                          </a:ln>
                        </wps:spPr>
                        <wps:bodyPr>
                          <a:prstTxWarp prst="textNoShape">
                            <a:avLst/>
                          </a:prstTxWarp>
                        </wps:bodyPr>
                      </wps:wsp>
                      <wps:wsp>
                        <wps:cNvPr id="2047755181" name="Freeform 74"/>
                        <wps:cNvSpPr>
                          <a:spLocks/>
                        </wps:cNvSpPr>
                        <wps:spPr bwMode="auto">
                          <a:xfrm>
                            <a:off x="4200014" y="693737"/>
                            <a:ext cx="1123023" cy="1854200"/>
                          </a:xfrm>
                          <a:custGeom>
                            <a:avLst/>
                            <a:gdLst/>
                            <a:ahLst/>
                            <a:cxnLst>
                              <a:cxn ang="0">
                                <a:pos x="1400" y="2608"/>
                              </a:cxn>
                              <a:cxn ang="0">
                                <a:pos x="0" y="57"/>
                              </a:cxn>
                              <a:cxn ang="0">
                                <a:pos x="290" y="0"/>
                              </a:cxn>
                              <a:cxn ang="0">
                                <a:pos x="1670" y="2514"/>
                              </a:cxn>
                              <a:cxn ang="0">
                                <a:pos x="1400" y="2608"/>
                              </a:cxn>
                            </a:cxnLst>
                            <a:rect l="0" t="0" r="r" b="b"/>
                            <a:pathLst>
                              <a:path w="1670" h="2608">
                                <a:moveTo>
                                  <a:pt x="1400" y="2608"/>
                                </a:moveTo>
                                <a:lnTo>
                                  <a:pt x="0" y="57"/>
                                </a:lnTo>
                                <a:lnTo>
                                  <a:pt x="290" y="0"/>
                                </a:lnTo>
                                <a:lnTo>
                                  <a:pt x="1670" y="2514"/>
                                </a:lnTo>
                                <a:lnTo>
                                  <a:pt x="1400" y="2608"/>
                                </a:lnTo>
                                <a:close/>
                              </a:path>
                            </a:pathLst>
                          </a:custGeom>
                          <a:solidFill>
                            <a:srgbClr val="908F8E"/>
                          </a:solidFill>
                          <a:ln w="9525">
                            <a:noFill/>
                            <a:round/>
                            <a:headEnd/>
                            <a:tailEnd/>
                          </a:ln>
                        </wps:spPr>
                        <wps:bodyPr>
                          <a:prstTxWarp prst="textNoShape">
                            <a:avLst/>
                          </a:prstTxWarp>
                        </wps:bodyPr>
                      </wps:wsp>
                      <wps:wsp>
                        <wps:cNvPr id="2047755182" name="Freeform 75"/>
                        <wps:cNvSpPr>
                          <a:spLocks/>
                        </wps:cNvSpPr>
                        <wps:spPr bwMode="auto">
                          <a:xfrm>
                            <a:off x="4298041" y="671512"/>
                            <a:ext cx="1116145" cy="1841500"/>
                          </a:xfrm>
                          <a:custGeom>
                            <a:avLst/>
                            <a:gdLst/>
                            <a:ahLst/>
                            <a:cxnLst>
                              <a:cxn ang="0">
                                <a:pos x="1391" y="2589"/>
                              </a:cxn>
                              <a:cxn ang="0">
                                <a:pos x="0" y="57"/>
                              </a:cxn>
                              <a:cxn ang="0">
                                <a:pos x="288" y="0"/>
                              </a:cxn>
                              <a:cxn ang="0">
                                <a:pos x="1659" y="2495"/>
                              </a:cxn>
                              <a:cxn ang="0">
                                <a:pos x="1391" y="2589"/>
                              </a:cxn>
                            </a:cxnLst>
                            <a:rect l="0" t="0" r="r" b="b"/>
                            <a:pathLst>
                              <a:path w="1659" h="2589">
                                <a:moveTo>
                                  <a:pt x="1391" y="2589"/>
                                </a:moveTo>
                                <a:lnTo>
                                  <a:pt x="0" y="57"/>
                                </a:lnTo>
                                <a:lnTo>
                                  <a:pt x="288" y="0"/>
                                </a:lnTo>
                                <a:lnTo>
                                  <a:pt x="1659" y="2495"/>
                                </a:lnTo>
                                <a:lnTo>
                                  <a:pt x="1391" y="2589"/>
                                </a:lnTo>
                                <a:close/>
                              </a:path>
                            </a:pathLst>
                          </a:custGeom>
                          <a:solidFill>
                            <a:srgbClr val="8F8E8D"/>
                          </a:solidFill>
                          <a:ln w="9525">
                            <a:noFill/>
                            <a:round/>
                            <a:headEnd/>
                            <a:tailEnd/>
                          </a:ln>
                        </wps:spPr>
                        <wps:bodyPr>
                          <a:prstTxWarp prst="textNoShape">
                            <a:avLst/>
                          </a:prstTxWarp>
                        </wps:bodyPr>
                      </wps:wsp>
                      <wps:wsp>
                        <wps:cNvPr id="2047755183" name="Freeform 76"/>
                        <wps:cNvSpPr>
                          <a:spLocks/>
                        </wps:cNvSpPr>
                        <wps:spPr bwMode="auto">
                          <a:xfrm>
                            <a:off x="4396069" y="652462"/>
                            <a:ext cx="1107546" cy="1828800"/>
                          </a:xfrm>
                          <a:custGeom>
                            <a:avLst/>
                            <a:gdLst/>
                            <a:ahLst/>
                            <a:cxnLst>
                              <a:cxn ang="0">
                                <a:pos x="1380" y="2570"/>
                              </a:cxn>
                              <a:cxn ang="0">
                                <a:pos x="0" y="56"/>
                              </a:cxn>
                              <a:cxn ang="0">
                                <a:pos x="288" y="0"/>
                              </a:cxn>
                              <a:cxn ang="0">
                                <a:pos x="1648" y="2477"/>
                              </a:cxn>
                              <a:cxn ang="0">
                                <a:pos x="1380" y="2570"/>
                              </a:cxn>
                            </a:cxnLst>
                            <a:rect l="0" t="0" r="r" b="b"/>
                            <a:pathLst>
                              <a:path w="1648" h="2570">
                                <a:moveTo>
                                  <a:pt x="1380" y="2570"/>
                                </a:moveTo>
                                <a:lnTo>
                                  <a:pt x="0" y="56"/>
                                </a:lnTo>
                                <a:lnTo>
                                  <a:pt x="288" y="0"/>
                                </a:lnTo>
                                <a:lnTo>
                                  <a:pt x="1648" y="2477"/>
                                </a:lnTo>
                                <a:lnTo>
                                  <a:pt x="1380" y="2570"/>
                                </a:lnTo>
                                <a:close/>
                              </a:path>
                            </a:pathLst>
                          </a:custGeom>
                          <a:solidFill>
                            <a:srgbClr val="8E8D8D"/>
                          </a:solidFill>
                          <a:ln w="9525">
                            <a:noFill/>
                            <a:round/>
                            <a:headEnd/>
                            <a:tailEnd/>
                          </a:ln>
                        </wps:spPr>
                        <wps:bodyPr>
                          <a:prstTxWarp prst="textNoShape">
                            <a:avLst/>
                          </a:prstTxWarp>
                        </wps:bodyPr>
                      </wps:wsp>
                      <wps:wsp>
                        <wps:cNvPr id="2047755184" name="Freeform 77"/>
                        <wps:cNvSpPr>
                          <a:spLocks/>
                        </wps:cNvSpPr>
                        <wps:spPr bwMode="auto">
                          <a:xfrm>
                            <a:off x="4492377" y="633413"/>
                            <a:ext cx="1100667" cy="1814513"/>
                          </a:xfrm>
                          <a:custGeom>
                            <a:avLst/>
                            <a:gdLst/>
                            <a:ahLst/>
                            <a:cxnLst>
                              <a:cxn ang="0">
                                <a:pos x="1371" y="2551"/>
                              </a:cxn>
                              <a:cxn ang="0">
                                <a:pos x="0" y="56"/>
                              </a:cxn>
                              <a:cxn ang="0">
                                <a:pos x="290" y="0"/>
                              </a:cxn>
                              <a:cxn ang="0">
                                <a:pos x="1639" y="2459"/>
                              </a:cxn>
                              <a:cxn ang="0">
                                <a:pos x="1371" y="2551"/>
                              </a:cxn>
                            </a:cxnLst>
                            <a:rect l="0" t="0" r="r" b="b"/>
                            <a:pathLst>
                              <a:path w="1639" h="2551">
                                <a:moveTo>
                                  <a:pt x="1371" y="2551"/>
                                </a:moveTo>
                                <a:lnTo>
                                  <a:pt x="0" y="56"/>
                                </a:lnTo>
                                <a:lnTo>
                                  <a:pt x="290" y="0"/>
                                </a:lnTo>
                                <a:lnTo>
                                  <a:pt x="1639" y="2459"/>
                                </a:lnTo>
                                <a:lnTo>
                                  <a:pt x="1371" y="2551"/>
                                </a:lnTo>
                                <a:close/>
                              </a:path>
                            </a:pathLst>
                          </a:custGeom>
                          <a:solidFill>
                            <a:srgbClr val="8E8D8C"/>
                          </a:solidFill>
                          <a:ln w="9525">
                            <a:noFill/>
                            <a:round/>
                            <a:headEnd/>
                            <a:tailEnd/>
                          </a:ln>
                        </wps:spPr>
                        <wps:bodyPr>
                          <a:prstTxWarp prst="textNoShape">
                            <a:avLst/>
                          </a:prstTxWarp>
                        </wps:bodyPr>
                      </wps:wsp>
                      <wps:wsp>
                        <wps:cNvPr id="2047755185" name="Freeform 78"/>
                        <wps:cNvSpPr>
                          <a:spLocks/>
                        </wps:cNvSpPr>
                        <wps:spPr bwMode="auto">
                          <a:xfrm>
                            <a:off x="4588686" y="612775"/>
                            <a:ext cx="1095507" cy="1803400"/>
                          </a:xfrm>
                          <a:custGeom>
                            <a:avLst/>
                            <a:gdLst/>
                            <a:ahLst/>
                            <a:cxnLst>
                              <a:cxn ang="0">
                                <a:pos x="1360" y="2533"/>
                              </a:cxn>
                              <a:cxn ang="0">
                                <a:pos x="0" y="56"/>
                              </a:cxn>
                              <a:cxn ang="0">
                                <a:pos x="289" y="0"/>
                              </a:cxn>
                              <a:cxn ang="0">
                                <a:pos x="1628" y="2440"/>
                              </a:cxn>
                              <a:cxn ang="0">
                                <a:pos x="1360" y="2533"/>
                              </a:cxn>
                            </a:cxnLst>
                            <a:rect l="0" t="0" r="r" b="b"/>
                            <a:pathLst>
                              <a:path w="1628" h="2533">
                                <a:moveTo>
                                  <a:pt x="1360" y="2533"/>
                                </a:moveTo>
                                <a:lnTo>
                                  <a:pt x="0" y="56"/>
                                </a:lnTo>
                                <a:lnTo>
                                  <a:pt x="289" y="0"/>
                                </a:lnTo>
                                <a:lnTo>
                                  <a:pt x="1628" y="2440"/>
                                </a:lnTo>
                                <a:lnTo>
                                  <a:pt x="1360" y="2533"/>
                                </a:lnTo>
                                <a:close/>
                              </a:path>
                            </a:pathLst>
                          </a:custGeom>
                          <a:solidFill>
                            <a:srgbClr val="8D8C8B"/>
                          </a:solidFill>
                          <a:ln w="9525">
                            <a:noFill/>
                            <a:round/>
                            <a:headEnd/>
                            <a:tailEnd/>
                          </a:ln>
                        </wps:spPr>
                        <wps:bodyPr>
                          <a:prstTxWarp prst="textNoShape">
                            <a:avLst/>
                          </a:prstTxWarp>
                        </wps:bodyPr>
                      </wps:wsp>
                      <wps:wsp>
                        <wps:cNvPr id="2047755186" name="Freeform 79"/>
                        <wps:cNvSpPr>
                          <a:spLocks/>
                        </wps:cNvSpPr>
                        <wps:spPr bwMode="auto">
                          <a:xfrm>
                            <a:off x="4686714" y="593726"/>
                            <a:ext cx="1086908" cy="1787525"/>
                          </a:xfrm>
                          <a:custGeom>
                            <a:avLst/>
                            <a:gdLst/>
                            <a:ahLst/>
                            <a:cxnLst>
                              <a:cxn ang="0">
                                <a:pos x="1349" y="2515"/>
                              </a:cxn>
                              <a:cxn ang="0">
                                <a:pos x="0" y="56"/>
                              </a:cxn>
                              <a:cxn ang="0">
                                <a:pos x="288" y="0"/>
                              </a:cxn>
                              <a:cxn ang="0">
                                <a:pos x="1617" y="2421"/>
                              </a:cxn>
                              <a:cxn ang="0">
                                <a:pos x="1349" y="2515"/>
                              </a:cxn>
                            </a:cxnLst>
                            <a:rect l="0" t="0" r="r" b="b"/>
                            <a:pathLst>
                              <a:path w="1617" h="2515">
                                <a:moveTo>
                                  <a:pt x="1349" y="2515"/>
                                </a:moveTo>
                                <a:lnTo>
                                  <a:pt x="0" y="56"/>
                                </a:lnTo>
                                <a:lnTo>
                                  <a:pt x="288" y="0"/>
                                </a:lnTo>
                                <a:lnTo>
                                  <a:pt x="1617" y="2421"/>
                                </a:lnTo>
                                <a:lnTo>
                                  <a:pt x="1349" y="2515"/>
                                </a:lnTo>
                                <a:close/>
                              </a:path>
                            </a:pathLst>
                          </a:custGeom>
                          <a:solidFill>
                            <a:srgbClr val="8C8B8A"/>
                          </a:solidFill>
                          <a:ln w="9525">
                            <a:noFill/>
                            <a:round/>
                            <a:headEnd/>
                            <a:tailEnd/>
                          </a:ln>
                        </wps:spPr>
                        <wps:bodyPr>
                          <a:prstTxWarp prst="textNoShape">
                            <a:avLst/>
                          </a:prstTxWarp>
                        </wps:bodyPr>
                      </wps:wsp>
                      <wps:wsp>
                        <wps:cNvPr id="2047755187" name="Freeform 80"/>
                        <wps:cNvSpPr>
                          <a:spLocks/>
                        </wps:cNvSpPr>
                        <wps:spPr bwMode="auto">
                          <a:xfrm>
                            <a:off x="4783022" y="574675"/>
                            <a:ext cx="1080029" cy="1774825"/>
                          </a:xfrm>
                          <a:custGeom>
                            <a:avLst/>
                            <a:gdLst/>
                            <a:ahLst/>
                            <a:cxnLst>
                              <a:cxn ang="0">
                                <a:pos x="1339" y="2496"/>
                              </a:cxn>
                              <a:cxn ang="0">
                                <a:pos x="0" y="56"/>
                              </a:cxn>
                              <a:cxn ang="0">
                                <a:pos x="289" y="0"/>
                              </a:cxn>
                              <a:cxn ang="0">
                                <a:pos x="1607" y="2402"/>
                              </a:cxn>
                              <a:cxn ang="0">
                                <a:pos x="1339" y="2496"/>
                              </a:cxn>
                            </a:cxnLst>
                            <a:rect l="0" t="0" r="r" b="b"/>
                            <a:pathLst>
                              <a:path w="1607" h="2496">
                                <a:moveTo>
                                  <a:pt x="1339" y="2496"/>
                                </a:moveTo>
                                <a:lnTo>
                                  <a:pt x="0" y="56"/>
                                </a:lnTo>
                                <a:lnTo>
                                  <a:pt x="289" y="0"/>
                                </a:lnTo>
                                <a:lnTo>
                                  <a:pt x="1607" y="2402"/>
                                </a:lnTo>
                                <a:lnTo>
                                  <a:pt x="1339" y="2496"/>
                                </a:lnTo>
                                <a:close/>
                              </a:path>
                            </a:pathLst>
                          </a:custGeom>
                          <a:solidFill>
                            <a:srgbClr val="8B8A8A"/>
                          </a:solidFill>
                          <a:ln w="9525">
                            <a:noFill/>
                            <a:round/>
                            <a:headEnd/>
                            <a:tailEnd/>
                          </a:ln>
                        </wps:spPr>
                        <wps:bodyPr>
                          <a:prstTxWarp prst="textNoShape">
                            <a:avLst/>
                          </a:prstTxWarp>
                        </wps:bodyPr>
                      </wps:wsp>
                      <wps:wsp>
                        <wps:cNvPr id="2047755188" name="Freeform 81"/>
                        <wps:cNvSpPr>
                          <a:spLocks/>
                        </wps:cNvSpPr>
                        <wps:spPr bwMode="auto">
                          <a:xfrm>
                            <a:off x="4879330" y="552451"/>
                            <a:ext cx="1074870" cy="1762125"/>
                          </a:xfrm>
                          <a:custGeom>
                            <a:avLst/>
                            <a:gdLst/>
                            <a:ahLst/>
                            <a:cxnLst>
                              <a:cxn ang="0">
                                <a:pos x="1329" y="2478"/>
                              </a:cxn>
                              <a:cxn ang="0">
                                <a:pos x="0" y="57"/>
                              </a:cxn>
                              <a:cxn ang="0">
                                <a:pos x="289" y="0"/>
                              </a:cxn>
                              <a:cxn ang="0">
                                <a:pos x="1597" y="2384"/>
                              </a:cxn>
                              <a:cxn ang="0">
                                <a:pos x="1329" y="2478"/>
                              </a:cxn>
                            </a:cxnLst>
                            <a:rect l="0" t="0" r="r" b="b"/>
                            <a:pathLst>
                              <a:path w="1597" h="2478">
                                <a:moveTo>
                                  <a:pt x="1329" y="2478"/>
                                </a:moveTo>
                                <a:lnTo>
                                  <a:pt x="0" y="57"/>
                                </a:lnTo>
                                <a:lnTo>
                                  <a:pt x="289" y="0"/>
                                </a:lnTo>
                                <a:lnTo>
                                  <a:pt x="1597" y="2384"/>
                                </a:lnTo>
                                <a:lnTo>
                                  <a:pt x="1329" y="2478"/>
                                </a:lnTo>
                                <a:close/>
                              </a:path>
                            </a:pathLst>
                          </a:custGeom>
                          <a:solidFill>
                            <a:srgbClr val="8B8989"/>
                          </a:solidFill>
                          <a:ln w="9525">
                            <a:noFill/>
                            <a:round/>
                            <a:headEnd/>
                            <a:tailEnd/>
                          </a:ln>
                        </wps:spPr>
                        <wps:bodyPr>
                          <a:prstTxWarp prst="textNoShape">
                            <a:avLst/>
                          </a:prstTxWarp>
                        </wps:bodyPr>
                      </wps:wsp>
                      <wps:wsp>
                        <wps:cNvPr id="2047755189" name="Freeform 82"/>
                        <wps:cNvSpPr>
                          <a:spLocks/>
                        </wps:cNvSpPr>
                        <wps:spPr bwMode="auto">
                          <a:xfrm>
                            <a:off x="4979078" y="534987"/>
                            <a:ext cx="1054233" cy="1746250"/>
                          </a:xfrm>
                          <a:custGeom>
                            <a:avLst/>
                            <a:gdLst/>
                            <a:ahLst/>
                            <a:cxnLst>
                              <a:cxn ang="0">
                                <a:pos x="1318" y="2455"/>
                              </a:cxn>
                              <a:cxn ang="0">
                                <a:pos x="0" y="53"/>
                              </a:cxn>
                              <a:cxn ang="0">
                                <a:pos x="270" y="0"/>
                              </a:cxn>
                              <a:cxn ang="0">
                                <a:pos x="1569" y="2368"/>
                              </a:cxn>
                              <a:cxn ang="0">
                                <a:pos x="1569" y="2368"/>
                              </a:cxn>
                              <a:cxn ang="0">
                                <a:pos x="1318" y="2455"/>
                              </a:cxn>
                            </a:cxnLst>
                            <a:rect l="0" t="0" r="r" b="b"/>
                            <a:pathLst>
                              <a:path w="1569" h="2455">
                                <a:moveTo>
                                  <a:pt x="1318" y="2455"/>
                                </a:moveTo>
                                <a:lnTo>
                                  <a:pt x="0" y="53"/>
                                </a:lnTo>
                                <a:lnTo>
                                  <a:pt x="270" y="0"/>
                                </a:lnTo>
                                <a:lnTo>
                                  <a:pt x="1569" y="2368"/>
                                </a:lnTo>
                                <a:lnTo>
                                  <a:pt x="1569" y="2368"/>
                                </a:lnTo>
                                <a:lnTo>
                                  <a:pt x="1318" y="2455"/>
                                </a:lnTo>
                                <a:close/>
                              </a:path>
                            </a:pathLst>
                          </a:custGeom>
                          <a:solidFill>
                            <a:srgbClr val="8A8988"/>
                          </a:solidFill>
                          <a:ln w="9525">
                            <a:noFill/>
                            <a:round/>
                            <a:headEnd/>
                            <a:tailEnd/>
                          </a:ln>
                        </wps:spPr>
                        <wps:bodyPr>
                          <a:prstTxWarp prst="textNoShape">
                            <a:avLst/>
                          </a:prstTxWarp>
                        </wps:bodyPr>
                      </wps:wsp>
                      <wps:wsp>
                        <wps:cNvPr id="2047755190" name="Freeform 83"/>
                        <wps:cNvSpPr>
                          <a:spLocks/>
                        </wps:cNvSpPr>
                        <wps:spPr bwMode="auto">
                          <a:xfrm>
                            <a:off x="5075386" y="534987"/>
                            <a:ext cx="957925" cy="1714500"/>
                          </a:xfrm>
                          <a:custGeom>
                            <a:avLst/>
                            <a:gdLst/>
                            <a:ahLst/>
                            <a:cxnLst>
                              <a:cxn ang="0">
                                <a:pos x="1308" y="2408"/>
                              </a:cxn>
                              <a:cxn ang="0">
                                <a:pos x="0" y="24"/>
                              </a:cxn>
                              <a:cxn ang="0">
                                <a:pos x="126" y="0"/>
                              </a:cxn>
                              <a:cxn ang="0">
                                <a:pos x="1425" y="2368"/>
                              </a:cxn>
                              <a:cxn ang="0">
                                <a:pos x="1425" y="2368"/>
                              </a:cxn>
                              <a:cxn ang="0">
                                <a:pos x="1308" y="2408"/>
                              </a:cxn>
                            </a:cxnLst>
                            <a:rect l="0" t="0" r="r" b="b"/>
                            <a:pathLst>
                              <a:path w="1425" h="2408">
                                <a:moveTo>
                                  <a:pt x="1308" y="2408"/>
                                </a:moveTo>
                                <a:lnTo>
                                  <a:pt x="0" y="24"/>
                                </a:lnTo>
                                <a:lnTo>
                                  <a:pt x="126" y="0"/>
                                </a:lnTo>
                                <a:lnTo>
                                  <a:pt x="1425" y="2368"/>
                                </a:lnTo>
                                <a:lnTo>
                                  <a:pt x="1425" y="2368"/>
                                </a:lnTo>
                                <a:lnTo>
                                  <a:pt x="1308" y="2408"/>
                                </a:lnTo>
                                <a:close/>
                              </a:path>
                            </a:pathLst>
                          </a:custGeom>
                          <a:solidFill>
                            <a:srgbClr val="898887"/>
                          </a:solidFill>
                          <a:ln w="9525">
                            <a:noFill/>
                            <a:round/>
                            <a:headEnd/>
                            <a:tailEnd/>
                          </a:ln>
                        </wps:spPr>
                        <wps:bodyPr>
                          <a:prstTxWarp prst="textNoShape">
                            <a:avLst/>
                          </a:prstTxWarp>
                        </wps:bodyPr>
                      </wps:wsp>
                      <wps:wsp>
                        <wps:cNvPr id="2047755191" name="Freeform 84"/>
                        <wps:cNvSpPr>
                          <a:spLocks/>
                        </wps:cNvSpPr>
                        <wps:spPr bwMode="auto">
                          <a:xfrm>
                            <a:off x="2081230" y="534987"/>
                            <a:ext cx="3952081" cy="2740025"/>
                          </a:xfrm>
                          <a:custGeom>
                            <a:avLst/>
                            <a:gdLst/>
                            <a:ahLst/>
                            <a:cxnLst>
                              <a:cxn ang="0">
                                <a:pos x="0" y="892"/>
                              </a:cxn>
                              <a:cxn ang="0">
                                <a:pos x="4580" y="0"/>
                              </a:cxn>
                              <a:cxn ang="0">
                                <a:pos x="5879" y="2368"/>
                              </a:cxn>
                              <a:cxn ang="0">
                                <a:pos x="1624" y="3851"/>
                              </a:cxn>
                              <a:cxn ang="0">
                                <a:pos x="0" y="892"/>
                              </a:cxn>
                            </a:cxnLst>
                            <a:rect l="0" t="0" r="r" b="b"/>
                            <a:pathLst>
                              <a:path w="5879" h="3851">
                                <a:moveTo>
                                  <a:pt x="0" y="892"/>
                                </a:moveTo>
                                <a:lnTo>
                                  <a:pt x="4580" y="0"/>
                                </a:lnTo>
                                <a:lnTo>
                                  <a:pt x="5879" y="2368"/>
                                </a:lnTo>
                                <a:lnTo>
                                  <a:pt x="1624" y="3851"/>
                                </a:lnTo>
                                <a:lnTo>
                                  <a:pt x="0" y="892"/>
                                </a:lnTo>
                                <a:close/>
                              </a:path>
                            </a:pathLst>
                          </a:custGeom>
                          <a:noFill/>
                          <a:ln w="6350">
                            <a:solidFill>
                              <a:srgbClr val="1F1A17"/>
                            </a:solidFill>
                            <a:prstDash val="solid"/>
                            <a:round/>
                            <a:headEnd/>
                            <a:tailEnd/>
                          </a:ln>
                        </wps:spPr>
                        <wps:bodyPr>
                          <a:prstTxWarp prst="textNoShape">
                            <a:avLst/>
                          </a:prstTxWarp>
                        </wps:bodyPr>
                      </wps:wsp>
                      <wps:wsp>
                        <wps:cNvPr id="2047755192" name="Freeform 85"/>
                        <wps:cNvSpPr>
                          <a:spLocks/>
                        </wps:cNvSpPr>
                        <wps:spPr bwMode="auto">
                          <a:xfrm>
                            <a:off x="495582" y="477837"/>
                            <a:ext cx="1718071" cy="692150"/>
                          </a:xfrm>
                          <a:custGeom>
                            <a:avLst/>
                            <a:gdLst/>
                            <a:ahLst/>
                            <a:cxnLst>
                              <a:cxn ang="0">
                                <a:pos x="220" y="0"/>
                              </a:cxn>
                              <a:cxn ang="0">
                                <a:pos x="2556" y="933"/>
                              </a:cxn>
                              <a:cxn ang="0">
                                <a:pos x="2357" y="972"/>
                              </a:cxn>
                              <a:cxn ang="0">
                                <a:pos x="0" y="31"/>
                              </a:cxn>
                              <a:cxn ang="0">
                                <a:pos x="220" y="0"/>
                              </a:cxn>
                            </a:cxnLst>
                            <a:rect l="0" t="0" r="r" b="b"/>
                            <a:pathLst>
                              <a:path w="2556" h="972">
                                <a:moveTo>
                                  <a:pt x="220" y="0"/>
                                </a:moveTo>
                                <a:lnTo>
                                  <a:pt x="2556" y="933"/>
                                </a:lnTo>
                                <a:lnTo>
                                  <a:pt x="2357" y="972"/>
                                </a:lnTo>
                                <a:lnTo>
                                  <a:pt x="0" y="31"/>
                                </a:lnTo>
                                <a:lnTo>
                                  <a:pt x="220" y="0"/>
                                </a:lnTo>
                                <a:close/>
                              </a:path>
                            </a:pathLst>
                          </a:custGeom>
                          <a:solidFill>
                            <a:srgbClr val="A2A1A0"/>
                          </a:solidFill>
                          <a:ln w="9525">
                            <a:noFill/>
                            <a:round/>
                            <a:headEnd/>
                            <a:tailEnd/>
                          </a:ln>
                        </wps:spPr>
                        <wps:bodyPr>
                          <a:prstTxWarp prst="textNoShape">
                            <a:avLst/>
                          </a:prstTxWarp>
                        </wps:bodyPr>
                      </wps:wsp>
                      <wps:wsp>
                        <wps:cNvPr id="2047755193" name="Freeform 86"/>
                        <wps:cNvSpPr>
                          <a:spLocks/>
                        </wps:cNvSpPr>
                        <wps:spPr bwMode="auto">
                          <a:xfrm>
                            <a:off x="533417" y="463551"/>
                            <a:ext cx="1781704" cy="700087"/>
                          </a:xfrm>
                          <a:custGeom>
                            <a:avLst/>
                            <a:gdLst/>
                            <a:ahLst/>
                            <a:cxnLst>
                              <a:cxn ang="0">
                                <a:pos x="2352" y="985"/>
                              </a:cxn>
                              <a:cxn ang="0">
                                <a:pos x="0" y="46"/>
                              </a:cxn>
                              <a:cxn ang="0">
                                <a:pos x="327" y="0"/>
                              </a:cxn>
                              <a:cxn ang="0">
                                <a:pos x="2649" y="926"/>
                              </a:cxn>
                              <a:cxn ang="0">
                                <a:pos x="2352" y="985"/>
                              </a:cxn>
                            </a:cxnLst>
                            <a:rect l="0" t="0" r="r" b="b"/>
                            <a:pathLst>
                              <a:path w="2649" h="985">
                                <a:moveTo>
                                  <a:pt x="2352" y="985"/>
                                </a:moveTo>
                                <a:lnTo>
                                  <a:pt x="0" y="46"/>
                                </a:lnTo>
                                <a:lnTo>
                                  <a:pt x="327" y="0"/>
                                </a:lnTo>
                                <a:lnTo>
                                  <a:pt x="2649" y="926"/>
                                </a:lnTo>
                                <a:lnTo>
                                  <a:pt x="2352" y="985"/>
                                </a:lnTo>
                                <a:close/>
                              </a:path>
                            </a:pathLst>
                          </a:custGeom>
                          <a:solidFill>
                            <a:srgbClr val="A1A09F"/>
                          </a:solidFill>
                          <a:ln w="9525">
                            <a:noFill/>
                            <a:round/>
                            <a:headEnd/>
                            <a:tailEnd/>
                          </a:ln>
                        </wps:spPr>
                        <wps:bodyPr>
                          <a:prstTxWarp prst="textNoShape">
                            <a:avLst/>
                          </a:prstTxWarp>
                        </wps:bodyPr>
                      </wps:wsp>
                      <wps:wsp>
                        <wps:cNvPr id="2047755194" name="Freeform 87"/>
                        <wps:cNvSpPr>
                          <a:spLocks/>
                        </wps:cNvSpPr>
                        <wps:spPr bwMode="auto">
                          <a:xfrm>
                            <a:off x="645203" y="446088"/>
                            <a:ext cx="1767946" cy="695325"/>
                          </a:xfrm>
                          <a:custGeom>
                            <a:avLst/>
                            <a:gdLst/>
                            <a:ahLst/>
                            <a:cxnLst>
                              <a:cxn ang="0">
                                <a:pos x="2336" y="979"/>
                              </a:cxn>
                              <a:cxn ang="0">
                                <a:pos x="0" y="46"/>
                              </a:cxn>
                              <a:cxn ang="0">
                                <a:pos x="327" y="0"/>
                              </a:cxn>
                              <a:cxn ang="0">
                                <a:pos x="2633" y="921"/>
                              </a:cxn>
                              <a:cxn ang="0">
                                <a:pos x="2336" y="979"/>
                              </a:cxn>
                            </a:cxnLst>
                            <a:rect l="0" t="0" r="r" b="b"/>
                            <a:pathLst>
                              <a:path w="2633" h="979">
                                <a:moveTo>
                                  <a:pt x="2336" y="979"/>
                                </a:moveTo>
                                <a:lnTo>
                                  <a:pt x="0" y="46"/>
                                </a:lnTo>
                                <a:lnTo>
                                  <a:pt x="327" y="0"/>
                                </a:lnTo>
                                <a:lnTo>
                                  <a:pt x="2633" y="921"/>
                                </a:lnTo>
                                <a:lnTo>
                                  <a:pt x="2336" y="979"/>
                                </a:lnTo>
                                <a:close/>
                              </a:path>
                            </a:pathLst>
                          </a:custGeom>
                          <a:solidFill>
                            <a:srgbClr val="A09F9F"/>
                          </a:solidFill>
                          <a:ln w="9525">
                            <a:noFill/>
                            <a:round/>
                            <a:headEnd/>
                            <a:tailEnd/>
                          </a:ln>
                        </wps:spPr>
                        <wps:bodyPr>
                          <a:prstTxWarp prst="textNoShape">
                            <a:avLst/>
                          </a:prstTxWarp>
                        </wps:bodyPr>
                      </wps:wsp>
                      <wps:wsp>
                        <wps:cNvPr id="2047755195" name="Freeform 88"/>
                        <wps:cNvSpPr>
                          <a:spLocks/>
                        </wps:cNvSpPr>
                        <wps:spPr bwMode="auto">
                          <a:xfrm>
                            <a:off x="753550" y="428625"/>
                            <a:ext cx="1761067" cy="692150"/>
                          </a:xfrm>
                          <a:custGeom>
                            <a:avLst/>
                            <a:gdLst/>
                            <a:ahLst/>
                            <a:cxnLst>
                              <a:cxn ang="0">
                                <a:pos x="2322" y="972"/>
                              </a:cxn>
                              <a:cxn ang="0">
                                <a:pos x="0" y="46"/>
                              </a:cxn>
                              <a:cxn ang="0">
                                <a:pos x="329" y="0"/>
                              </a:cxn>
                              <a:cxn ang="0">
                                <a:pos x="2619" y="915"/>
                              </a:cxn>
                              <a:cxn ang="0">
                                <a:pos x="2322" y="972"/>
                              </a:cxn>
                            </a:cxnLst>
                            <a:rect l="0" t="0" r="r" b="b"/>
                            <a:pathLst>
                              <a:path w="2619" h="972">
                                <a:moveTo>
                                  <a:pt x="2322" y="972"/>
                                </a:moveTo>
                                <a:lnTo>
                                  <a:pt x="0" y="46"/>
                                </a:lnTo>
                                <a:lnTo>
                                  <a:pt x="329" y="0"/>
                                </a:lnTo>
                                <a:lnTo>
                                  <a:pt x="2619" y="915"/>
                                </a:lnTo>
                                <a:lnTo>
                                  <a:pt x="2322" y="972"/>
                                </a:lnTo>
                                <a:close/>
                              </a:path>
                            </a:pathLst>
                          </a:custGeom>
                          <a:solidFill>
                            <a:srgbClr val="9F9E9E"/>
                          </a:solidFill>
                          <a:ln w="9525">
                            <a:noFill/>
                            <a:round/>
                            <a:headEnd/>
                            <a:tailEnd/>
                          </a:ln>
                        </wps:spPr>
                        <wps:bodyPr>
                          <a:prstTxWarp prst="textNoShape">
                            <a:avLst/>
                          </a:prstTxWarp>
                        </wps:bodyPr>
                      </wps:wsp>
                      <wps:wsp>
                        <wps:cNvPr id="2047755196" name="Freeform 89"/>
                        <wps:cNvSpPr>
                          <a:spLocks/>
                        </wps:cNvSpPr>
                        <wps:spPr bwMode="auto">
                          <a:xfrm>
                            <a:off x="865336" y="414337"/>
                            <a:ext cx="1749029" cy="687388"/>
                          </a:xfrm>
                          <a:custGeom>
                            <a:avLst/>
                            <a:gdLst/>
                            <a:ahLst/>
                            <a:cxnLst>
                              <a:cxn ang="0">
                                <a:pos x="2306" y="966"/>
                              </a:cxn>
                              <a:cxn ang="0">
                                <a:pos x="0" y="45"/>
                              </a:cxn>
                              <a:cxn ang="0">
                                <a:pos x="328" y="0"/>
                              </a:cxn>
                              <a:cxn ang="0">
                                <a:pos x="2604" y="909"/>
                              </a:cxn>
                              <a:cxn ang="0">
                                <a:pos x="2306" y="966"/>
                              </a:cxn>
                            </a:cxnLst>
                            <a:rect l="0" t="0" r="r" b="b"/>
                            <a:pathLst>
                              <a:path w="2604" h="966">
                                <a:moveTo>
                                  <a:pt x="2306" y="966"/>
                                </a:moveTo>
                                <a:lnTo>
                                  <a:pt x="0" y="45"/>
                                </a:lnTo>
                                <a:lnTo>
                                  <a:pt x="328" y="0"/>
                                </a:lnTo>
                                <a:lnTo>
                                  <a:pt x="2604" y="909"/>
                                </a:lnTo>
                                <a:lnTo>
                                  <a:pt x="2306" y="966"/>
                                </a:lnTo>
                                <a:close/>
                              </a:path>
                            </a:pathLst>
                          </a:custGeom>
                          <a:solidFill>
                            <a:srgbClr val="9F9E9D"/>
                          </a:solidFill>
                          <a:ln w="9525">
                            <a:noFill/>
                            <a:round/>
                            <a:headEnd/>
                            <a:tailEnd/>
                          </a:ln>
                        </wps:spPr>
                        <wps:bodyPr>
                          <a:prstTxWarp prst="textNoShape">
                            <a:avLst/>
                          </a:prstTxWarp>
                        </wps:bodyPr>
                      </wps:wsp>
                      <wps:wsp>
                        <wps:cNvPr id="2047755197" name="Freeform 90"/>
                        <wps:cNvSpPr>
                          <a:spLocks/>
                        </wps:cNvSpPr>
                        <wps:spPr bwMode="auto">
                          <a:xfrm>
                            <a:off x="975403" y="396876"/>
                            <a:ext cx="1738710" cy="682625"/>
                          </a:xfrm>
                          <a:custGeom>
                            <a:avLst/>
                            <a:gdLst/>
                            <a:ahLst/>
                            <a:cxnLst>
                              <a:cxn ang="0">
                                <a:pos x="2290" y="960"/>
                              </a:cxn>
                              <a:cxn ang="0">
                                <a:pos x="0" y="45"/>
                              </a:cxn>
                              <a:cxn ang="0">
                                <a:pos x="327" y="0"/>
                              </a:cxn>
                              <a:cxn ang="0">
                                <a:pos x="2588" y="902"/>
                              </a:cxn>
                              <a:cxn ang="0">
                                <a:pos x="2290" y="960"/>
                              </a:cxn>
                            </a:cxnLst>
                            <a:rect l="0" t="0" r="r" b="b"/>
                            <a:pathLst>
                              <a:path w="2588" h="960">
                                <a:moveTo>
                                  <a:pt x="2290" y="960"/>
                                </a:moveTo>
                                <a:lnTo>
                                  <a:pt x="0" y="45"/>
                                </a:lnTo>
                                <a:lnTo>
                                  <a:pt x="327" y="0"/>
                                </a:lnTo>
                                <a:lnTo>
                                  <a:pt x="2588" y="902"/>
                                </a:lnTo>
                                <a:lnTo>
                                  <a:pt x="2290" y="960"/>
                                </a:lnTo>
                                <a:close/>
                              </a:path>
                            </a:pathLst>
                          </a:custGeom>
                          <a:solidFill>
                            <a:srgbClr val="9E9D9C"/>
                          </a:solidFill>
                          <a:ln w="9525">
                            <a:noFill/>
                            <a:round/>
                            <a:headEnd/>
                            <a:tailEnd/>
                          </a:ln>
                        </wps:spPr>
                        <wps:bodyPr>
                          <a:prstTxWarp prst="textNoShape">
                            <a:avLst/>
                          </a:prstTxWarp>
                        </wps:bodyPr>
                      </wps:wsp>
                      <wps:wsp>
                        <wps:cNvPr id="2047755198" name="Freeform 91"/>
                        <wps:cNvSpPr>
                          <a:spLocks/>
                        </wps:cNvSpPr>
                        <wps:spPr bwMode="auto">
                          <a:xfrm>
                            <a:off x="1083751" y="382588"/>
                            <a:ext cx="1730110" cy="677863"/>
                          </a:xfrm>
                          <a:custGeom>
                            <a:avLst/>
                            <a:gdLst/>
                            <a:ahLst/>
                            <a:cxnLst>
                              <a:cxn ang="0">
                                <a:pos x="2276" y="955"/>
                              </a:cxn>
                              <a:cxn ang="0">
                                <a:pos x="0" y="46"/>
                              </a:cxn>
                              <a:cxn ang="0">
                                <a:pos x="328" y="0"/>
                              </a:cxn>
                              <a:cxn ang="0">
                                <a:pos x="2574" y="897"/>
                              </a:cxn>
                              <a:cxn ang="0">
                                <a:pos x="2276" y="955"/>
                              </a:cxn>
                            </a:cxnLst>
                            <a:rect l="0" t="0" r="r" b="b"/>
                            <a:pathLst>
                              <a:path w="2574" h="955">
                                <a:moveTo>
                                  <a:pt x="2276" y="955"/>
                                </a:moveTo>
                                <a:lnTo>
                                  <a:pt x="0" y="46"/>
                                </a:lnTo>
                                <a:lnTo>
                                  <a:pt x="328" y="0"/>
                                </a:lnTo>
                                <a:lnTo>
                                  <a:pt x="2574" y="897"/>
                                </a:lnTo>
                                <a:lnTo>
                                  <a:pt x="2276" y="955"/>
                                </a:lnTo>
                                <a:close/>
                              </a:path>
                            </a:pathLst>
                          </a:custGeom>
                          <a:solidFill>
                            <a:srgbClr val="9D9C9B"/>
                          </a:solidFill>
                          <a:ln w="9525">
                            <a:noFill/>
                            <a:round/>
                            <a:headEnd/>
                            <a:tailEnd/>
                          </a:ln>
                        </wps:spPr>
                        <wps:bodyPr>
                          <a:prstTxWarp prst="textNoShape">
                            <a:avLst/>
                          </a:prstTxWarp>
                        </wps:bodyPr>
                      </wps:wsp>
                      <wps:wsp>
                        <wps:cNvPr id="2047755199" name="Freeform 92"/>
                        <wps:cNvSpPr>
                          <a:spLocks/>
                        </wps:cNvSpPr>
                        <wps:spPr bwMode="auto">
                          <a:xfrm>
                            <a:off x="1195537" y="365126"/>
                            <a:ext cx="1718072" cy="674687"/>
                          </a:xfrm>
                          <a:custGeom>
                            <a:avLst/>
                            <a:gdLst/>
                            <a:ahLst/>
                            <a:cxnLst>
                              <a:cxn ang="0">
                                <a:pos x="2261" y="948"/>
                              </a:cxn>
                              <a:cxn ang="0">
                                <a:pos x="0" y="46"/>
                              </a:cxn>
                              <a:cxn ang="0">
                                <a:pos x="329" y="0"/>
                              </a:cxn>
                              <a:cxn ang="0">
                                <a:pos x="2557" y="891"/>
                              </a:cxn>
                              <a:cxn ang="0">
                                <a:pos x="2261" y="948"/>
                              </a:cxn>
                            </a:cxnLst>
                            <a:rect l="0" t="0" r="r" b="b"/>
                            <a:pathLst>
                              <a:path w="2557" h="948">
                                <a:moveTo>
                                  <a:pt x="2261" y="948"/>
                                </a:moveTo>
                                <a:lnTo>
                                  <a:pt x="0" y="46"/>
                                </a:lnTo>
                                <a:lnTo>
                                  <a:pt x="329" y="0"/>
                                </a:lnTo>
                                <a:lnTo>
                                  <a:pt x="2557" y="891"/>
                                </a:lnTo>
                                <a:lnTo>
                                  <a:pt x="2261" y="948"/>
                                </a:lnTo>
                                <a:close/>
                              </a:path>
                            </a:pathLst>
                          </a:custGeom>
                          <a:solidFill>
                            <a:srgbClr val="9C9B9B"/>
                          </a:solidFill>
                          <a:ln w="9525">
                            <a:noFill/>
                            <a:round/>
                            <a:headEnd/>
                            <a:tailEnd/>
                          </a:ln>
                        </wps:spPr>
                        <wps:bodyPr>
                          <a:prstTxWarp prst="textNoShape">
                            <a:avLst/>
                          </a:prstTxWarp>
                        </wps:bodyPr>
                      </wps:wsp>
                      <wps:wsp>
                        <wps:cNvPr id="2047755200" name="Freeform 93"/>
                        <wps:cNvSpPr>
                          <a:spLocks/>
                        </wps:cNvSpPr>
                        <wps:spPr bwMode="auto">
                          <a:xfrm>
                            <a:off x="1303884" y="347663"/>
                            <a:ext cx="1711192" cy="671513"/>
                          </a:xfrm>
                          <a:custGeom>
                            <a:avLst/>
                            <a:gdLst/>
                            <a:ahLst/>
                            <a:cxnLst>
                              <a:cxn ang="0">
                                <a:pos x="2246" y="943"/>
                              </a:cxn>
                              <a:cxn ang="0">
                                <a:pos x="0" y="46"/>
                              </a:cxn>
                              <a:cxn ang="0">
                                <a:pos x="328" y="0"/>
                              </a:cxn>
                              <a:cxn ang="0">
                                <a:pos x="2542" y="884"/>
                              </a:cxn>
                              <a:cxn ang="0">
                                <a:pos x="2246" y="943"/>
                              </a:cxn>
                            </a:cxnLst>
                            <a:rect l="0" t="0" r="r" b="b"/>
                            <a:pathLst>
                              <a:path w="2542" h="943">
                                <a:moveTo>
                                  <a:pt x="2246" y="943"/>
                                </a:moveTo>
                                <a:lnTo>
                                  <a:pt x="0" y="46"/>
                                </a:lnTo>
                                <a:lnTo>
                                  <a:pt x="328" y="0"/>
                                </a:lnTo>
                                <a:lnTo>
                                  <a:pt x="2542" y="884"/>
                                </a:lnTo>
                                <a:lnTo>
                                  <a:pt x="2246" y="943"/>
                                </a:lnTo>
                                <a:close/>
                              </a:path>
                            </a:pathLst>
                          </a:custGeom>
                          <a:solidFill>
                            <a:srgbClr val="9B9A9A"/>
                          </a:solidFill>
                          <a:ln w="9525">
                            <a:noFill/>
                            <a:round/>
                            <a:headEnd/>
                            <a:tailEnd/>
                          </a:ln>
                        </wps:spPr>
                        <wps:bodyPr>
                          <a:prstTxWarp prst="textNoShape">
                            <a:avLst/>
                          </a:prstTxWarp>
                        </wps:bodyPr>
                      </wps:wsp>
                      <wps:wsp>
                        <wps:cNvPr id="2047755201" name="Freeform 94"/>
                        <wps:cNvSpPr>
                          <a:spLocks/>
                        </wps:cNvSpPr>
                        <wps:spPr bwMode="auto">
                          <a:xfrm>
                            <a:off x="1415670" y="333375"/>
                            <a:ext cx="1697435" cy="665162"/>
                          </a:xfrm>
                          <a:custGeom>
                            <a:avLst/>
                            <a:gdLst/>
                            <a:ahLst/>
                            <a:cxnLst>
                              <a:cxn ang="0">
                                <a:pos x="2228" y="936"/>
                              </a:cxn>
                              <a:cxn ang="0">
                                <a:pos x="0" y="45"/>
                              </a:cxn>
                              <a:cxn ang="0">
                                <a:pos x="327" y="0"/>
                              </a:cxn>
                              <a:cxn ang="0">
                                <a:pos x="2526" y="878"/>
                              </a:cxn>
                              <a:cxn ang="0">
                                <a:pos x="2228" y="936"/>
                              </a:cxn>
                            </a:cxnLst>
                            <a:rect l="0" t="0" r="r" b="b"/>
                            <a:pathLst>
                              <a:path w="2526" h="936">
                                <a:moveTo>
                                  <a:pt x="2228" y="936"/>
                                </a:moveTo>
                                <a:lnTo>
                                  <a:pt x="0" y="45"/>
                                </a:lnTo>
                                <a:lnTo>
                                  <a:pt x="327" y="0"/>
                                </a:lnTo>
                                <a:lnTo>
                                  <a:pt x="2526" y="878"/>
                                </a:lnTo>
                                <a:lnTo>
                                  <a:pt x="2228" y="936"/>
                                </a:lnTo>
                                <a:close/>
                              </a:path>
                            </a:pathLst>
                          </a:custGeom>
                          <a:solidFill>
                            <a:srgbClr val="9B9A99"/>
                          </a:solidFill>
                          <a:ln w="9525">
                            <a:noFill/>
                            <a:round/>
                            <a:headEnd/>
                            <a:tailEnd/>
                          </a:ln>
                        </wps:spPr>
                        <wps:bodyPr>
                          <a:prstTxWarp prst="textNoShape">
                            <a:avLst/>
                          </a:prstTxWarp>
                        </wps:bodyPr>
                      </wps:wsp>
                      <wps:wsp>
                        <wps:cNvPr id="2047755202" name="Freeform 95"/>
                        <wps:cNvSpPr>
                          <a:spLocks/>
                        </wps:cNvSpPr>
                        <wps:spPr bwMode="auto">
                          <a:xfrm>
                            <a:off x="1525737" y="315912"/>
                            <a:ext cx="1688835" cy="661988"/>
                          </a:xfrm>
                          <a:custGeom>
                            <a:avLst/>
                            <a:gdLst/>
                            <a:ahLst/>
                            <a:cxnLst>
                              <a:cxn ang="0">
                                <a:pos x="2214" y="929"/>
                              </a:cxn>
                              <a:cxn ang="0">
                                <a:pos x="0" y="45"/>
                              </a:cxn>
                              <a:cxn ang="0">
                                <a:pos x="327" y="0"/>
                              </a:cxn>
                              <a:cxn ang="0">
                                <a:pos x="2512" y="871"/>
                              </a:cxn>
                              <a:cxn ang="0">
                                <a:pos x="2214" y="929"/>
                              </a:cxn>
                            </a:cxnLst>
                            <a:rect l="0" t="0" r="r" b="b"/>
                            <a:pathLst>
                              <a:path w="2512" h="929">
                                <a:moveTo>
                                  <a:pt x="2214" y="929"/>
                                </a:moveTo>
                                <a:lnTo>
                                  <a:pt x="0" y="45"/>
                                </a:lnTo>
                                <a:lnTo>
                                  <a:pt x="327" y="0"/>
                                </a:lnTo>
                                <a:lnTo>
                                  <a:pt x="2512" y="871"/>
                                </a:lnTo>
                                <a:lnTo>
                                  <a:pt x="2214" y="929"/>
                                </a:lnTo>
                                <a:close/>
                              </a:path>
                            </a:pathLst>
                          </a:custGeom>
                          <a:solidFill>
                            <a:srgbClr val="9A9998"/>
                          </a:solidFill>
                          <a:ln w="9525">
                            <a:noFill/>
                            <a:round/>
                            <a:headEnd/>
                            <a:tailEnd/>
                          </a:ln>
                        </wps:spPr>
                        <wps:bodyPr>
                          <a:prstTxWarp prst="textNoShape">
                            <a:avLst/>
                          </a:prstTxWarp>
                        </wps:bodyPr>
                      </wps:wsp>
                      <wps:wsp>
                        <wps:cNvPr id="2047755203" name="Freeform 96"/>
                        <wps:cNvSpPr>
                          <a:spLocks/>
                        </wps:cNvSpPr>
                        <wps:spPr bwMode="auto">
                          <a:xfrm>
                            <a:off x="1635803" y="301626"/>
                            <a:ext cx="1678517" cy="657225"/>
                          </a:xfrm>
                          <a:custGeom>
                            <a:avLst/>
                            <a:gdLst/>
                            <a:ahLst/>
                            <a:cxnLst>
                              <a:cxn ang="0">
                                <a:pos x="2199" y="924"/>
                              </a:cxn>
                              <a:cxn ang="0">
                                <a:pos x="0" y="46"/>
                              </a:cxn>
                              <a:cxn ang="0">
                                <a:pos x="328" y="0"/>
                              </a:cxn>
                              <a:cxn ang="0">
                                <a:pos x="2497" y="866"/>
                              </a:cxn>
                              <a:cxn ang="0">
                                <a:pos x="2199" y="924"/>
                              </a:cxn>
                            </a:cxnLst>
                            <a:rect l="0" t="0" r="r" b="b"/>
                            <a:pathLst>
                              <a:path w="2497" h="924">
                                <a:moveTo>
                                  <a:pt x="2199" y="924"/>
                                </a:moveTo>
                                <a:lnTo>
                                  <a:pt x="0" y="46"/>
                                </a:lnTo>
                                <a:lnTo>
                                  <a:pt x="328" y="0"/>
                                </a:lnTo>
                                <a:lnTo>
                                  <a:pt x="2497" y="866"/>
                                </a:lnTo>
                                <a:lnTo>
                                  <a:pt x="2199" y="924"/>
                                </a:lnTo>
                                <a:close/>
                              </a:path>
                            </a:pathLst>
                          </a:custGeom>
                          <a:solidFill>
                            <a:srgbClr val="999897"/>
                          </a:solidFill>
                          <a:ln w="9525">
                            <a:noFill/>
                            <a:round/>
                            <a:headEnd/>
                            <a:tailEnd/>
                          </a:ln>
                        </wps:spPr>
                        <wps:bodyPr>
                          <a:prstTxWarp prst="textNoShape">
                            <a:avLst/>
                          </a:prstTxWarp>
                        </wps:bodyPr>
                      </wps:wsp>
                      <wps:wsp>
                        <wps:cNvPr id="2047755204" name="Freeform 97"/>
                        <wps:cNvSpPr>
                          <a:spLocks/>
                        </wps:cNvSpPr>
                        <wps:spPr bwMode="auto">
                          <a:xfrm>
                            <a:off x="1745870" y="284163"/>
                            <a:ext cx="1668198" cy="652463"/>
                          </a:xfrm>
                          <a:custGeom>
                            <a:avLst/>
                            <a:gdLst/>
                            <a:ahLst/>
                            <a:cxnLst>
                              <a:cxn ang="0">
                                <a:pos x="2185" y="917"/>
                              </a:cxn>
                              <a:cxn ang="0">
                                <a:pos x="0" y="46"/>
                              </a:cxn>
                              <a:cxn ang="0">
                                <a:pos x="329" y="0"/>
                              </a:cxn>
                              <a:cxn ang="0">
                                <a:pos x="2483" y="860"/>
                              </a:cxn>
                              <a:cxn ang="0">
                                <a:pos x="2185" y="917"/>
                              </a:cxn>
                            </a:cxnLst>
                            <a:rect l="0" t="0" r="r" b="b"/>
                            <a:pathLst>
                              <a:path w="2483" h="917">
                                <a:moveTo>
                                  <a:pt x="2185" y="917"/>
                                </a:moveTo>
                                <a:lnTo>
                                  <a:pt x="0" y="46"/>
                                </a:lnTo>
                                <a:lnTo>
                                  <a:pt x="329" y="0"/>
                                </a:lnTo>
                                <a:lnTo>
                                  <a:pt x="2483" y="860"/>
                                </a:lnTo>
                                <a:lnTo>
                                  <a:pt x="2185" y="917"/>
                                </a:lnTo>
                                <a:close/>
                              </a:path>
                            </a:pathLst>
                          </a:custGeom>
                          <a:solidFill>
                            <a:srgbClr val="989797"/>
                          </a:solidFill>
                          <a:ln w="9525">
                            <a:noFill/>
                            <a:round/>
                            <a:headEnd/>
                            <a:tailEnd/>
                          </a:ln>
                        </wps:spPr>
                        <wps:bodyPr>
                          <a:prstTxWarp prst="textNoShape">
                            <a:avLst/>
                          </a:prstTxWarp>
                        </wps:bodyPr>
                      </wps:wsp>
                      <wps:wsp>
                        <wps:cNvPr id="2047755205" name="Freeform 98"/>
                        <wps:cNvSpPr>
                          <a:spLocks/>
                        </wps:cNvSpPr>
                        <wps:spPr bwMode="auto">
                          <a:xfrm>
                            <a:off x="1855937" y="266701"/>
                            <a:ext cx="1656160" cy="649287"/>
                          </a:xfrm>
                          <a:custGeom>
                            <a:avLst/>
                            <a:gdLst/>
                            <a:ahLst/>
                            <a:cxnLst>
                              <a:cxn ang="0">
                                <a:pos x="2169" y="912"/>
                              </a:cxn>
                              <a:cxn ang="0">
                                <a:pos x="0" y="46"/>
                              </a:cxn>
                              <a:cxn ang="0">
                                <a:pos x="327" y="0"/>
                              </a:cxn>
                              <a:cxn ang="0">
                                <a:pos x="2465" y="855"/>
                              </a:cxn>
                              <a:cxn ang="0">
                                <a:pos x="2169" y="912"/>
                              </a:cxn>
                            </a:cxnLst>
                            <a:rect l="0" t="0" r="r" b="b"/>
                            <a:pathLst>
                              <a:path w="2465" h="912">
                                <a:moveTo>
                                  <a:pt x="2169" y="912"/>
                                </a:moveTo>
                                <a:lnTo>
                                  <a:pt x="0" y="46"/>
                                </a:lnTo>
                                <a:lnTo>
                                  <a:pt x="327" y="0"/>
                                </a:lnTo>
                                <a:lnTo>
                                  <a:pt x="2465" y="855"/>
                                </a:lnTo>
                                <a:lnTo>
                                  <a:pt x="2169" y="912"/>
                                </a:lnTo>
                                <a:close/>
                              </a:path>
                            </a:pathLst>
                          </a:custGeom>
                          <a:solidFill>
                            <a:srgbClr val="979696"/>
                          </a:solidFill>
                          <a:ln w="9525">
                            <a:noFill/>
                            <a:round/>
                            <a:headEnd/>
                            <a:tailEnd/>
                          </a:ln>
                        </wps:spPr>
                        <wps:bodyPr>
                          <a:prstTxWarp prst="textNoShape">
                            <a:avLst/>
                          </a:prstTxWarp>
                        </wps:bodyPr>
                      </wps:wsp>
                      <wps:wsp>
                        <wps:cNvPr id="2047755206" name="Freeform 99"/>
                        <wps:cNvSpPr>
                          <a:spLocks/>
                        </wps:cNvSpPr>
                        <wps:spPr bwMode="auto">
                          <a:xfrm>
                            <a:off x="1966004" y="252413"/>
                            <a:ext cx="1647560" cy="644525"/>
                          </a:xfrm>
                          <a:custGeom>
                            <a:avLst/>
                            <a:gdLst/>
                            <a:ahLst/>
                            <a:cxnLst>
                              <a:cxn ang="0">
                                <a:pos x="2154" y="905"/>
                              </a:cxn>
                              <a:cxn ang="0">
                                <a:pos x="0" y="45"/>
                              </a:cxn>
                              <a:cxn ang="0">
                                <a:pos x="327" y="0"/>
                              </a:cxn>
                              <a:cxn ang="0">
                                <a:pos x="2450" y="847"/>
                              </a:cxn>
                              <a:cxn ang="0">
                                <a:pos x="2154" y="905"/>
                              </a:cxn>
                            </a:cxnLst>
                            <a:rect l="0" t="0" r="r" b="b"/>
                            <a:pathLst>
                              <a:path w="2450" h="905">
                                <a:moveTo>
                                  <a:pt x="2154" y="905"/>
                                </a:moveTo>
                                <a:lnTo>
                                  <a:pt x="0" y="45"/>
                                </a:lnTo>
                                <a:lnTo>
                                  <a:pt x="327" y="0"/>
                                </a:lnTo>
                                <a:lnTo>
                                  <a:pt x="2450" y="847"/>
                                </a:lnTo>
                                <a:lnTo>
                                  <a:pt x="2154" y="905"/>
                                </a:lnTo>
                                <a:close/>
                              </a:path>
                            </a:pathLst>
                          </a:custGeom>
                          <a:solidFill>
                            <a:srgbClr val="969595"/>
                          </a:solidFill>
                          <a:ln w="9525">
                            <a:noFill/>
                            <a:round/>
                            <a:headEnd/>
                            <a:tailEnd/>
                          </a:ln>
                        </wps:spPr>
                        <wps:bodyPr>
                          <a:prstTxWarp prst="textNoShape">
                            <a:avLst/>
                          </a:prstTxWarp>
                        </wps:bodyPr>
                      </wps:wsp>
                      <wps:wsp>
                        <wps:cNvPr id="2047755207" name="Freeform 100"/>
                        <wps:cNvSpPr>
                          <a:spLocks/>
                        </wps:cNvSpPr>
                        <wps:spPr bwMode="auto">
                          <a:xfrm>
                            <a:off x="2076069" y="234950"/>
                            <a:ext cx="1637242" cy="639762"/>
                          </a:xfrm>
                          <a:custGeom>
                            <a:avLst/>
                            <a:gdLst/>
                            <a:ahLst/>
                            <a:cxnLst>
                              <a:cxn ang="0">
                                <a:pos x="2138" y="900"/>
                              </a:cxn>
                              <a:cxn ang="0">
                                <a:pos x="0" y="45"/>
                              </a:cxn>
                              <a:cxn ang="0">
                                <a:pos x="329" y="0"/>
                              </a:cxn>
                              <a:cxn ang="0">
                                <a:pos x="2436" y="841"/>
                              </a:cxn>
                              <a:cxn ang="0">
                                <a:pos x="2138" y="900"/>
                              </a:cxn>
                            </a:cxnLst>
                            <a:rect l="0" t="0" r="r" b="b"/>
                            <a:pathLst>
                              <a:path w="2436" h="900">
                                <a:moveTo>
                                  <a:pt x="2138" y="900"/>
                                </a:moveTo>
                                <a:lnTo>
                                  <a:pt x="0" y="45"/>
                                </a:lnTo>
                                <a:lnTo>
                                  <a:pt x="329" y="0"/>
                                </a:lnTo>
                                <a:lnTo>
                                  <a:pt x="2436" y="841"/>
                                </a:lnTo>
                                <a:lnTo>
                                  <a:pt x="2138" y="900"/>
                                </a:lnTo>
                                <a:close/>
                              </a:path>
                            </a:pathLst>
                          </a:custGeom>
                          <a:solidFill>
                            <a:srgbClr val="959493"/>
                          </a:solidFill>
                          <a:ln w="9525">
                            <a:noFill/>
                            <a:round/>
                            <a:headEnd/>
                            <a:tailEnd/>
                          </a:ln>
                        </wps:spPr>
                        <wps:bodyPr>
                          <a:prstTxWarp prst="textNoShape">
                            <a:avLst/>
                          </a:prstTxWarp>
                        </wps:bodyPr>
                      </wps:wsp>
                      <wps:wsp>
                        <wps:cNvPr id="2047755208" name="Freeform 101"/>
                        <wps:cNvSpPr>
                          <a:spLocks/>
                        </wps:cNvSpPr>
                        <wps:spPr bwMode="auto">
                          <a:xfrm>
                            <a:off x="2186137" y="219075"/>
                            <a:ext cx="1626923" cy="635000"/>
                          </a:xfrm>
                          <a:custGeom>
                            <a:avLst/>
                            <a:gdLst/>
                            <a:ahLst/>
                            <a:cxnLst>
                              <a:cxn ang="0">
                                <a:pos x="2123" y="893"/>
                              </a:cxn>
                              <a:cxn ang="0">
                                <a:pos x="0" y="46"/>
                              </a:cxn>
                              <a:cxn ang="0">
                                <a:pos x="329" y="0"/>
                              </a:cxn>
                              <a:cxn ang="0">
                                <a:pos x="2421" y="835"/>
                              </a:cxn>
                              <a:cxn ang="0">
                                <a:pos x="2123" y="893"/>
                              </a:cxn>
                            </a:cxnLst>
                            <a:rect l="0" t="0" r="r" b="b"/>
                            <a:pathLst>
                              <a:path w="2421" h="893">
                                <a:moveTo>
                                  <a:pt x="2123" y="893"/>
                                </a:moveTo>
                                <a:lnTo>
                                  <a:pt x="0" y="46"/>
                                </a:lnTo>
                                <a:lnTo>
                                  <a:pt x="329" y="0"/>
                                </a:lnTo>
                                <a:lnTo>
                                  <a:pt x="2421" y="835"/>
                                </a:lnTo>
                                <a:lnTo>
                                  <a:pt x="2123" y="893"/>
                                </a:lnTo>
                                <a:close/>
                              </a:path>
                            </a:pathLst>
                          </a:custGeom>
                          <a:solidFill>
                            <a:srgbClr val="949393"/>
                          </a:solidFill>
                          <a:ln w="9525">
                            <a:noFill/>
                            <a:round/>
                            <a:headEnd/>
                            <a:tailEnd/>
                          </a:ln>
                        </wps:spPr>
                        <wps:bodyPr>
                          <a:prstTxWarp prst="textNoShape">
                            <a:avLst/>
                          </a:prstTxWarp>
                        </wps:bodyPr>
                      </wps:wsp>
                      <wps:wsp>
                        <wps:cNvPr id="2047755209" name="Freeform 102"/>
                        <wps:cNvSpPr>
                          <a:spLocks/>
                        </wps:cNvSpPr>
                        <wps:spPr bwMode="auto">
                          <a:xfrm>
                            <a:off x="2296203" y="203201"/>
                            <a:ext cx="1618325" cy="631825"/>
                          </a:xfrm>
                          <a:custGeom>
                            <a:avLst/>
                            <a:gdLst/>
                            <a:ahLst/>
                            <a:cxnLst>
                              <a:cxn ang="0">
                                <a:pos x="2107" y="887"/>
                              </a:cxn>
                              <a:cxn ang="0">
                                <a:pos x="0" y="46"/>
                              </a:cxn>
                              <a:cxn ang="0">
                                <a:pos x="327" y="0"/>
                              </a:cxn>
                              <a:cxn ang="0">
                                <a:pos x="2404" y="829"/>
                              </a:cxn>
                              <a:cxn ang="0">
                                <a:pos x="2107" y="887"/>
                              </a:cxn>
                            </a:cxnLst>
                            <a:rect l="0" t="0" r="r" b="b"/>
                            <a:pathLst>
                              <a:path w="2404" h="887">
                                <a:moveTo>
                                  <a:pt x="2107" y="887"/>
                                </a:moveTo>
                                <a:lnTo>
                                  <a:pt x="0" y="46"/>
                                </a:lnTo>
                                <a:lnTo>
                                  <a:pt x="327" y="0"/>
                                </a:lnTo>
                                <a:lnTo>
                                  <a:pt x="2404" y="829"/>
                                </a:lnTo>
                                <a:lnTo>
                                  <a:pt x="2107" y="887"/>
                                </a:lnTo>
                                <a:close/>
                              </a:path>
                            </a:pathLst>
                          </a:custGeom>
                          <a:solidFill>
                            <a:srgbClr val="949292"/>
                          </a:solidFill>
                          <a:ln w="9525">
                            <a:noFill/>
                            <a:round/>
                            <a:headEnd/>
                            <a:tailEnd/>
                          </a:ln>
                        </wps:spPr>
                        <wps:bodyPr>
                          <a:prstTxWarp prst="textNoShape">
                            <a:avLst/>
                          </a:prstTxWarp>
                        </wps:bodyPr>
                      </wps:wsp>
                      <wps:wsp>
                        <wps:cNvPr id="2047755210" name="Freeform 103"/>
                        <wps:cNvSpPr>
                          <a:spLocks/>
                        </wps:cNvSpPr>
                        <wps:spPr bwMode="auto">
                          <a:xfrm>
                            <a:off x="2407991" y="187326"/>
                            <a:ext cx="1604565" cy="625475"/>
                          </a:xfrm>
                          <a:custGeom>
                            <a:avLst/>
                            <a:gdLst/>
                            <a:ahLst/>
                            <a:cxnLst>
                              <a:cxn ang="0">
                                <a:pos x="2092" y="880"/>
                              </a:cxn>
                              <a:cxn ang="0">
                                <a:pos x="0" y="45"/>
                              </a:cxn>
                              <a:cxn ang="0">
                                <a:pos x="328" y="0"/>
                              </a:cxn>
                              <a:cxn ang="0">
                                <a:pos x="2389" y="823"/>
                              </a:cxn>
                              <a:cxn ang="0">
                                <a:pos x="2092" y="880"/>
                              </a:cxn>
                            </a:cxnLst>
                            <a:rect l="0" t="0" r="r" b="b"/>
                            <a:pathLst>
                              <a:path w="2389" h="880">
                                <a:moveTo>
                                  <a:pt x="2092" y="880"/>
                                </a:moveTo>
                                <a:lnTo>
                                  <a:pt x="0" y="45"/>
                                </a:lnTo>
                                <a:lnTo>
                                  <a:pt x="328" y="0"/>
                                </a:lnTo>
                                <a:lnTo>
                                  <a:pt x="2389" y="823"/>
                                </a:lnTo>
                                <a:lnTo>
                                  <a:pt x="2092" y="880"/>
                                </a:lnTo>
                                <a:close/>
                              </a:path>
                            </a:pathLst>
                          </a:custGeom>
                          <a:solidFill>
                            <a:srgbClr val="939291"/>
                          </a:solidFill>
                          <a:ln w="9525">
                            <a:noFill/>
                            <a:round/>
                            <a:headEnd/>
                            <a:tailEnd/>
                          </a:ln>
                        </wps:spPr>
                        <wps:bodyPr>
                          <a:prstTxWarp prst="textNoShape">
                            <a:avLst/>
                          </a:prstTxWarp>
                        </wps:bodyPr>
                      </wps:wsp>
                      <wps:wsp>
                        <wps:cNvPr id="2047755211" name="Freeform 104"/>
                        <wps:cNvSpPr>
                          <a:spLocks/>
                        </wps:cNvSpPr>
                        <wps:spPr bwMode="auto">
                          <a:xfrm>
                            <a:off x="2516336" y="171450"/>
                            <a:ext cx="1597687" cy="620712"/>
                          </a:xfrm>
                          <a:custGeom>
                            <a:avLst/>
                            <a:gdLst/>
                            <a:ahLst/>
                            <a:cxnLst>
                              <a:cxn ang="0">
                                <a:pos x="2077" y="874"/>
                              </a:cxn>
                              <a:cxn ang="0">
                                <a:pos x="0" y="45"/>
                              </a:cxn>
                              <a:cxn ang="0">
                                <a:pos x="329" y="0"/>
                              </a:cxn>
                              <a:cxn ang="0">
                                <a:pos x="2375" y="816"/>
                              </a:cxn>
                              <a:cxn ang="0">
                                <a:pos x="2077" y="874"/>
                              </a:cxn>
                            </a:cxnLst>
                            <a:rect l="0" t="0" r="r" b="b"/>
                            <a:pathLst>
                              <a:path w="2375" h="874">
                                <a:moveTo>
                                  <a:pt x="2077" y="874"/>
                                </a:moveTo>
                                <a:lnTo>
                                  <a:pt x="0" y="45"/>
                                </a:lnTo>
                                <a:lnTo>
                                  <a:pt x="329" y="0"/>
                                </a:lnTo>
                                <a:lnTo>
                                  <a:pt x="2375" y="816"/>
                                </a:lnTo>
                                <a:lnTo>
                                  <a:pt x="2077" y="874"/>
                                </a:lnTo>
                                <a:close/>
                              </a:path>
                            </a:pathLst>
                          </a:custGeom>
                          <a:solidFill>
                            <a:srgbClr val="929190"/>
                          </a:solidFill>
                          <a:ln w="9525">
                            <a:noFill/>
                            <a:round/>
                            <a:headEnd/>
                            <a:tailEnd/>
                          </a:ln>
                        </wps:spPr>
                        <wps:bodyPr>
                          <a:prstTxWarp prst="textNoShape">
                            <a:avLst/>
                          </a:prstTxWarp>
                        </wps:bodyPr>
                      </wps:wsp>
                      <wps:wsp>
                        <wps:cNvPr id="2047755212" name="Freeform 105"/>
                        <wps:cNvSpPr>
                          <a:spLocks/>
                        </wps:cNvSpPr>
                        <wps:spPr bwMode="auto">
                          <a:xfrm>
                            <a:off x="2626403" y="153988"/>
                            <a:ext cx="1585648" cy="619125"/>
                          </a:xfrm>
                          <a:custGeom>
                            <a:avLst/>
                            <a:gdLst/>
                            <a:ahLst/>
                            <a:cxnLst>
                              <a:cxn ang="0">
                                <a:pos x="2061" y="869"/>
                              </a:cxn>
                              <a:cxn ang="0">
                                <a:pos x="0" y="46"/>
                              </a:cxn>
                              <a:cxn ang="0">
                                <a:pos x="327" y="0"/>
                              </a:cxn>
                              <a:cxn ang="0">
                                <a:pos x="2358" y="811"/>
                              </a:cxn>
                              <a:cxn ang="0">
                                <a:pos x="2061" y="869"/>
                              </a:cxn>
                            </a:cxnLst>
                            <a:rect l="0" t="0" r="r" b="b"/>
                            <a:pathLst>
                              <a:path w="2358" h="869">
                                <a:moveTo>
                                  <a:pt x="2061" y="869"/>
                                </a:moveTo>
                                <a:lnTo>
                                  <a:pt x="0" y="46"/>
                                </a:lnTo>
                                <a:lnTo>
                                  <a:pt x="327" y="0"/>
                                </a:lnTo>
                                <a:lnTo>
                                  <a:pt x="2358" y="811"/>
                                </a:lnTo>
                                <a:lnTo>
                                  <a:pt x="2061" y="869"/>
                                </a:lnTo>
                                <a:close/>
                              </a:path>
                            </a:pathLst>
                          </a:custGeom>
                          <a:solidFill>
                            <a:srgbClr val="919090"/>
                          </a:solidFill>
                          <a:ln w="9525">
                            <a:noFill/>
                            <a:round/>
                            <a:headEnd/>
                            <a:tailEnd/>
                          </a:ln>
                        </wps:spPr>
                        <wps:bodyPr>
                          <a:prstTxWarp prst="textNoShape">
                            <a:avLst/>
                          </a:prstTxWarp>
                        </wps:bodyPr>
                      </wps:wsp>
                      <wps:wsp>
                        <wps:cNvPr id="2047755213" name="Freeform 106"/>
                        <wps:cNvSpPr>
                          <a:spLocks/>
                        </wps:cNvSpPr>
                        <wps:spPr bwMode="auto">
                          <a:xfrm>
                            <a:off x="2738190" y="138113"/>
                            <a:ext cx="1575329" cy="612775"/>
                          </a:xfrm>
                          <a:custGeom>
                            <a:avLst/>
                            <a:gdLst/>
                            <a:ahLst/>
                            <a:cxnLst>
                              <a:cxn ang="0">
                                <a:pos x="2046" y="862"/>
                              </a:cxn>
                              <a:cxn ang="0">
                                <a:pos x="0" y="46"/>
                              </a:cxn>
                              <a:cxn ang="0">
                                <a:pos x="327" y="0"/>
                              </a:cxn>
                              <a:cxn ang="0">
                                <a:pos x="2342" y="805"/>
                              </a:cxn>
                              <a:cxn ang="0">
                                <a:pos x="2046" y="862"/>
                              </a:cxn>
                            </a:cxnLst>
                            <a:rect l="0" t="0" r="r" b="b"/>
                            <a:pathLst>
                              <a:path w="2342" h="862">
                                <a:moveTo>
                                  <a:pt x="2046" y="862"/>
                                </a:moveTo>
                                <a:lnTo>
                                  <a:pt x="0" y="46"/>
                                </a:lnTo>
                                <a:lnTo>
                                  <a:pt x="327" y="0"/>
                                </a:lnTo>
                                <a:lnTo>
                                  <a:pt x="2342" y="805"/>
                                </a:lnTo>
                                <a:lnTo>
                                  <a:pt x="2046" y="862"/>
                                </a:lnTo>
                                <a:close/>
                              </a:path>
                            </a:pathLst>
                          </a:custGeom>
                          <a:solidFill>
                            <a:srgbClr val="91908F"/>
                          </a:solidFill>
                          <a:ln w="9525">
                            <a:noFill/>
                            <a:round/>
                            <a:headEnd/>
                            <a:tailEnd/>
                          </a:ln>
                        </wps:spPr>
                        <wps:bodyPr>
                          <a:prstTxWarp prst="textNoShape">
                            <a:avLst/>
                          </a:prstTxWarp>
                        </wps:bodyPr>
                      </wps:wsp>
                      <wps:wsp>
                        <wps:cNvPr id="2047755214" name="Freeform 107"/>
                        <wps:cNvSpPr>
                          <a:spLocks/>
                        </wps:cNvSpPr>
                        <wps:spPr bwMode="auto">
                          <a:xfrm>
                            <a:off x="2846537" y="122237"/>
                            <a:ext cx="1565010" cy="609600"/>
                          </a:xfrm>
                          <a:custGeom>
                            <a:avLst/>
                            <a:gdLst/>
                            <a:ahLst/>
                            <a:cxnLst>
                              <a:cxn ang="0">
                                <a:pos x="2031" y="857"/>
                              </a:cxn>
                              <a:cxn ang="0">
                                <a:pos x="0" y="46"/>
                              </a:cxn>
                              <a:cxn ang="0">
                                <a:pos x="329" y="0"/>
                              </a:cxn>
                              <a:cxn ang="0">
                                <a:pos x="2328" y="798"/>
                              </a:cxn>
                              <a:cxn ang="0">
                                <a:pos x="2031" y="857"/>
                              </a:cxn>
                            </a:cxnLst>
                            <a:rect l="0" t="0" r="r" b="b"/>
                            <a:pathLst>
                              <a:path w="2328" h="857">
                                <a:moveTo>
                                  <a:pt x="2031" y="857"/>
                                </a:moveTo>
                                <a:lnTo>
                                  <a:pt x="0" y="46"/>
                                </a:lnTo>
                                <a:lnTo>
                                  <a:pt x="329" y="0"/>
                                </a:lnTo>
                                <a:lnTo>
                                  <a:pt x="2328" y="798"/>
                                </a:lnTo>
                                <a:lnTo>
                                  <a:pt x="2031" y="857"/>
                                </a:lnTo>
                                <a:close/>
                              </a:path>
                            </a:pathLst>
                          </a:custGeom>
                          <a:solidFill>
                            <a:srgbClr val="908F8E"/>
                          </a:solidFill>
                          <a:ln w="9525">
                            <a:noFill/>
                            <a:round/>
                            <a:headEnd/>
                            <a:tailEnd/>
                          </a:ln>
                        </wps:spPr>
                        <wps:bodyPr>
                          <a:prstTxWarp prst="textNoShape">
                            <a:avLst/>
                          </a:prstTxWarp>
                        </wps:bodyPr>
                      </wps:wsp>
                      <wps:wsp>
                        <wps:cNvPr id="2047755215" name="Freeform 108"/>
                        <wps:cNvSpPr>
                          <a:spLocks/>
                        </wps:cNvSpPr>
                        <wps:spPr bwMode="auto">
                          <a:xfrm>
                            <a:off x="2958323" y="106362"/>
                            <a:ext cx="1554692" cy="604838"/>
                          </a:xfrm>
                          <a:custGeom>
                            <a:avLst/>
                            <a:gdLst/>
                            <a:ahLst/>
                            <a:cxnLst>
                              <a:cxn ang="0">
                                <a:pos x="2015" y="850"/>
                              </a:cxn>
                              <a:cxn ang="0">
                                <a:pos x="0" y="45"/>
                              </a:cxn>
                              <a:cxn ang="0">
                                <a:pos x="329" y="0"/>
                              </a:cxn>
                              <a:cxn ang="0">
                                <a:pos x="2313" y="792"/>
                              </a:cxn>
                              <a:cxn ang="0">
                                <a:pos x="2015" y="850"/>
                              </a:cxn>
                            </a:cxnLst>
                            <a:rect l="0" t="0" r="r" b="b"/>
                            <a:pathLst>
                              <a:path w="2313" h="850">
                                <a:moveTo>
                                  <a:pt x="2015" y="850"/>
                                </a:moveTo>
                                <a:lnTo>
                                  <a:pt x="0" y="45"/>
                                </a:lnTo>
                                <a:lnTo>
                                  <a:pt x="329" y="0"/>
                                </a:lnTo>
                                <a:lnTo>
                                  <a:pt x="2313" y="792"/>
                                </a:lnTo>
                                <a:lnTo>
                                  <a:pt x="2015" y="850"/>
                                </a:lnTo>
                                <a:close/>
                              </a:path>
                            </a:pathLst>
                          </a:custGeom>
                          <a:solidFill>
                            <a:srgbClr val="8F8E8D"/>
                          </a:solidFill>
                          <a:ln w="9525">
                            <a:noFill/>
                            <a:round/>
                            <a:headEnd/>
                            <a:tailEnd/>
                          </a:ln>
                        </wps:spPr>
                        <wps:bodyPr>
                          <a:prstTxWarp prst="textNoShape">
                            <a:avLst/>
                          </a:prstTxWarp>
                        </wps:bodyPr>
                      </wps:wsp>
                      <wps:wsp>
                        <wps:cNvPr id="2047755216" name="Freeform 109"/>
                        <wps:cNvSpPr>
                          <a:spLocks/>
                        </wps:cNvSpPr>
                        <wps:spPr bwMode="auto">
                          <a:xfrm>
                            <a:off x="3068390" y="88901"/>
                            <a:ext cx="1544373" cy="600075"/>
                          </a:xfrm>
                          <a:custGeom>
                            <a:avLst/>
                            <a:gdLst/>
                            <a:ahLst/>
                            <a:cxnLst>
                              <a:cxn ang="0">
                                <a:pos x="1999" y="843"/>
                              </a:cxn>
                              <a:cxn ang="0">
                                <a:pos x="0" y="45"/>
                              </a:cxn>
                              <a:cxn ang="0">
                                <a:pos x="327" y="0"/>
                              </a:cxn>
                              <a:cxn ang="0">
                                <a:pos x="2297" y="785"/>
                              </a:cxn>
                              <a:cxn ang="0">
                                <a:pos x="1999" y="843"/>
                              </a:cxn>
                            </a:cxnLst>
                            <a:rect l="0" t="0" r="r" b="b"/>
                            <a:pathLst>
                              <a:path w="2297" h="843">
                                <a:moveTo>
                                  <a:pt x="1999" y="843"/>
                                </a:moveTo>
                                <a:lnTo>
                                  <a:pt x="0" y="45"/>
                                </a:lnTo>
                                <a:lnTo>
                                  <a:pt x="327" y="0"/>
                                </a:lnTo>
                                <a:lnTo>
                                  <a:pt x="2297" y="785"/>
                                </a:lnTo>
                                <a:lnTo>
                                  <a:pt x="1999" y="843"/>
                                </a:lnTo>
                                <a:close/>
                              </a:path>
                            </a:pathLst>
                          </a:custGeom>
                          <a:solidFill>
                            <a:srgbClr val="8E8D8D"/>
                          </a:solidFill>
                          <a:ln w="9525">
                            <a:noFill/>
                            <a:round/>
                            <a:headEnd/>
                            <a:tailEnd/>
                          </a:ln>
                        </wps:spPr>
                        <wps:bodyPr>
                          <a:prstTxWarp prst="textNoShape">
                            <a:avLst/>
                          </a:prstTxWarp>
                        </wps:bodyPr>
                      </wps:wsp>
                      <wps:wsp>
                        <wps:cNvPr id="2047755217" name="Freeform 156"/>
                        <wps:cNvSpPr>
                          <a:spLocks/>
                        </wps:cNvSpPr>
                        <wps:spPr bwMode="auto">
                          <a:xfrm>
                            <a:off x="3180176" y="73025"/>
                            <a:ext cx="1532335" cy="596900"/>
                          </a:xfrm>
                          <a:custGeom>
                            <a:avLst/>
                            <a:gdLst/>
                            <a:ahLst/>
                            <a:cxnLst>
                              <a:cxn ang="0">
                                <a:pos x="1984" y="838"/>
                              </a:cxn>
                              <a:cxn ang="0">
                                <a:pos x="0" y="46"/>
                              </a:cxn>
                              <a:cxn ang="0">
                                <a:pos x="327" y="0"/>
                              </a:cxn>
                              <a:cxn ang="0">
                                <a:pos x="2282" y="780"/>
                              </a:cxn>
                              <a:cxn ang="0">
                                <a:pos x="1984" y="838"/>
                              </a:cxn>
                            </a:cxnLst>
                            <a:rect l="0" t="0" r="r" b="b"/>
                            <a:pathLst>
                              <a:path w="2282" h="838">
                                <a:moveTo>
                                  <a:pt x="1984" y="838"/>
                                </a:moveTo>
                                <a:lnTo>
                                  <a:pt x="0" y="46"/>
                                </a:lnTo>
                                <a:lnTo>
                                  <a:pt x="327" y="0"/>
                                </a:lnTo>
                                <a:lnTo>
                                  <a:pt x="2282" y="780"/>
                                </a:lnTo>
                                <a:lnTo>
                                  <a:pt x="1984" y="838"/>
                                </a:lnTo>
                                <a:close/>
                              </a:path>
                            </a:pathLst>
                          </a:custGeom>
                          <a:solidFill>
                            <a:srgbClr val="8E8D8C"/>
                          </a:solidFill>
                          <a:ln w="9525">
                            <a:noFill/>
                            <a:round/>
                            <a:headEnd/>
                            <a:tailEnd/>
                          </a:ln>
                        </wps:spPr>
                        <wps:bodyPr>
                          <a:prstTxWarp prst="textNoShape">
                            <a:avLst/>
                          </a:prstTxWarp>
                        </wps:bodyPr>
                      </wps:wsp>
                      <wps:wsp>
                        <wps:cNvPr id="2047755218" name="Freeform 157"/>
                        <wps:cNvSpPr>
                          <a:spLocks/>
                        </wps:cNvSpPr>
                        <wps:spPr bwMode="auto">
                          <a:xfrm>
                            <a:off x="3288524" y="57151"/>
                            <a:ext cx="1522015" cy="592137"/>
                          </a:xfrm>
                          <a:custGeom>
                            <a:avLst/>
                            <a:gdLst/>
                            <a:ahLst/>
                            <a:cxnLst>
                              <a:cxn ang="0">
                                <a:pos x="1970" y="831"/>
                              </a:cxn>
                              <a:cxn ang="0">
                                <a:pos x="0" y="46"/>
                              </a:cxn>
                              <a:cxn ang="0">
                                <a:pos x="329" y="0"/>
                              </a:cxn>
                              <a:cxn ang="0">
                                <a:pos x="2266" y="774"/>
                              </a:cxn>
                              <a:cxn ang="0">
                                <a:pos x="1970" y="831"/>
                              </a:cxn>
                            </a:cxnLst>
                            <a:rect l="0" t="0" r="r" b="b"/>
                            <a:pathLst>
                              <a:path w="2266" h="831">
                                <a:moveTo>
                                  <a:pt x="1970" y="831"/>
                                </a:moveTo>
                                <a:lnTo>
                                  <a:pt x="0" y="46"/>
                                </a:lnTo>
                                <a:lnTo>
                                  <a:pt x="329" y="0"/>
                                </a:lnTo>
                                <a:lnTo>
                                  <a:pt x="2266" y="774"/>
                                </a:lnTo>
                                <a:lnTo>
                                  <a:pt x="1970" y="831"/>
                                </a:lnTo>
                                <a:close/>
                              </a:path>
                            </a:pathLst>
                          </a:custGeom>
                          <a:solidFill>
                            <a:srgbClr val="8D8C8B"/>
                          </a:solidFill>
                          <a:ln w="9525">
                            <a:noFill/>
                            <a:round/>
                            <a:headEnd/>
                            <a:tailEnd/>
                          </a:ln>
                        </wps:spPr>
                        <wps:bodyPr>
                          <a:prstTxWarp prst="textNoShape">
                            <a:avLst/>
                          </a:prstTxWarp>
                        </wps:bodyPr>
                      </wps:wsp>
                      <wps:wsp>
                        <wps:cNvPr id="2047755219" name="Freeform 158"/>
                        <wps:cNvSpPr>
                          <a:spLocks/>
                        </wps:cNvSpPr>
                        <wps:spPr bwMode="auto">
                          <a:xfrm>
                            <a:off x="3400310" y="41276"/>
                            <a:ext cx="1511697" cy="585787"/>
                          </a:xfrm>
                          <a:custGeom>
                            <a:avLst/>
                            <a:gdLst/>
                            <a:ahLst/>
                            <a:cxnLst>
                              <a:cxn ang="0">
                                <a:pos x="1955" y="826"/>
                              </a:cxn>
                              <a:cxn ang="0">
                                <a:pos x="0" y="46"/>
                              </a:cxn>
                              <a:cxn ang="0">
                                <a:pos x="328" y="0"/>
                              </a:cxn>
                              <a:cxn ang="0">
                                <a:pos x="2251" y="767"/>
                              </a:cxn>
                              <a:cxn ang="0">
                                <a:pos x="1955" y="826"/>
                              </a:cxn>
                            </a:cxnLst>
                            <a:rect l="0" t="0" r="r" b="b"/>
                            <a:pathLst>
                              <a:path w="2251" h="826">
                                <a:moveTo>
                                  <a:pt x="1955" y="826"/>
                                </a:moveTo>
                                <a:lnTo>
                                  <a:pt x="0" y="46"/>
                                </a:lnTo>
                                <a:lnTo>
                                  <a:pt x="328" y="0"/>
                                </a:lnTo>
                                <a:lnTo>
                                  <a:pt x="2251" y="767"/>
                                </a:lnTo>
                                <a:lnTo>
                                  <a:pt x="1955" y="826"/>
                                </a:lnTo>
                                <a:close/>
                              </a:path>
                            </a:pathLst>
                          </a:custGeom>
                          <a:solidFill>
                            <a:srgbClr val="8C8B8A"/>
                          </a:solidFill>
                          <a:ln w="9525">
                            <a:noFill/>
                            <a:round/>
                            <a:headEnd/>
                            <a:tailEnd/>
                          </a:ln>
                        </wps:spPr>
                        <wps:bodyPr>
                          <a:prstTxWarp prst="textNoShape">
                            <a:avLst/>
                          </a:prstTxWarp>
                        </wps:bodyPr>
                      </wps:wsp>
                      <wps:wsp>
                        <wps:cNvPr id="2047755220" name="Freeform 159"/>
                        <wps:cNvSpPr>
                          <a:spLocks/>
                        </wps:cNvSpPr>
                        <wps:spPr bwMode="auto">
                          <a:xfrm>
                            <a:off x="3510376" y="25400"/>
                            <a:ext cx="1503098" cy="582612"/>
                          </a:xfrm>
                          <a:custGeom>
                            <a:avLst/>
                            <a:gdLst/>
                            <a:ahLst/>
                            <a:cxnLst>
                              <a:cxn ang="0">
                                <a:pos x="1937" y="819"/>
                              </a:cxn>
                              <a:cxn ang="0">
                                <a:pos x="0" y="45"/>
                              </a:cxn>
                              <a:cxn ang="0">
                                <a:pos x="327" y="0"/>
                              </a:cxn>
                              <a:cxn ang="0">
                                <a:pos x="2235" y="761"/>
                              </a:cxn>
                              <a:cxn ang="0">
                                <a:pos x="1937" y="819"/>
                              </a:cxn>
                            </a:cxnLst>
                            <a:rect l="0" t="0" r="r" b="b"/>
                            <a:pathLst>
                              <a:path w="2235" h="819">
                                <a:moveTo>
                                  <a:pt x="1937" y="819"/>
                                </a:moveTo>
                                <a:lnTo>
                                  <a:pt x="0" y="45"/>
                                </a:lnTo>
                                <a:lnTo>
                                  <a:pt x="327" y="0"/>
                                </a:lnTo>
                                <a:lnTo>
                                  <a:pt x="2235" y="761"/>
                                </a:lnTo>
                                <a:lnTo>
                                  <a:pt x="1937" y="819"/>
                                </a:lnTo>
                                <a:close/>
                              </a:path>
                            </a:pathLst>
                          </a:custGeom>
                          <a:solidFill>
                            <a:srgbClr val="8B8A8A"/>
                          </a:solidFill>
                          <a:ln w="9525">
                            <a:noFill/>
                            <a:round/>
                            <a:headEnd/>
                            <a:tailEnd/>
                          </a:ln>
                        </wps:spPr>
                        <wps:bodyPr>
                          <a:prstTxWarp prst="textNoShape">
                            <a:avLst/>
                          </a:prstTxWarp>
                        </wps:bodyPr>
                      </wps:wsp>
                      <wps:wsp>
                        <wps:cNvPr id="2047755221" name="Freeform 160"/>
                        <wps:cNvSpPr>
                          <a:spLocks/>
                        </wps:cNvSpPr>
                        <wps:spPr bwMode="auto">
                          <a:xfrm>
                            <a:off x="3618723" y="7937"/>
                            <a:ext cx="1492779" cy="579438"/>
                          </a:xfrm>
                          <a:custGeom>
                            <a:avLst/>
                            <a:gdLst/>
                            <a:ahLst/>
                            <a:cxnLst>
                              <a:cxn ang="0">
                                <a:pos x="1923" y="812"/>
                              </a:cxn>
                              <a:cxn ang="0">
                                <a:pos x="0" y="45"/>
                              </a:cxn>
                              <a:cxn ang="0">
                                <a:pos x="327" y="0"/>
                              </a:cxn>
                              <a:cxn ang="0">
                                <a:pos x="2221" y="755"/>
                              </a:cxn>
                              <a:cxn ang="0">
                                <a:pos x="1923" y="812"/>
                              </a:cxn>
                            </a:cxnLst>
                            <a:rect l="0" t="0" r="r" b="b"/>
                            <a:pathLst>
                              <a:path w="2221" h="812">
                                <a:moveTo>
                                  <a:pt x="1923" y="812"/>
                                </a:moveTo>
                                <a:lnTo>
                                  <a:pt x="0" y="45"/>
                                </a:lnTo>
                                <a:lnTo>
                                  <a:pt x="327" y="0"/>
                                </a:lnTo>
                                <a:lnTo>
                                  <a:pt x="2221" y="755"/>
                                </a:lnTo>
                                <a:lnTo>
                                  <a:pt x="1923" y="812"/>
                                </a:lnTo>
                                <a:close/>
                              </a:path>
                            </a:pathLst>
                          </a:custGeom>
                          <a:solidFill>
                            <a:srgbClr val="8B8989"/>
                          </a:solidFill>
                          <a:ln w="9525">
                            <a:noFill/>
                            <a:round/>
                            <a:headEnd/>
                            <a:tailEnd/>
                          </a:ln>
                        </wps:spPr>
                        <wps:bodyPr>
                          <a:prstTxWarp prst="textNoShape">
                            <a:avLst/>
                          </a:prstTxWarp>
                        </wps:bodyPr>
                      </wps:wsp>
                      <wps:wsp>
                        <wps:cNvPr id="2047755222" name="Freeform 161"/>
                        <wps:cNvSpPr>
                          <a:spLocks/>
                        </wps:cNvSpPr>
                        <wps:spPr bwMode="auto">
                          <a:xfrm>
                            <a:off x="3730510" y="0"/>
                            <a:ext cx="1429147" cy="565150"/>
                          </a:xfrm>
                          <a:custGeom>
                            <a:avLst/>
                            <a:gdLst/>
                            <a:ahLst/>
                            <a:cxnLst>
                              <a:cxn ang="0">
                                <a:pos x="1908" y="795"/>
                              </a:cxn>
                              <a:cxn ang="0">
                                <a:pos x="0" y="34"/>
                              </a:cxn>
                              <a:cxn ang="0">
                                <a:pos x="241" y="0"/>
                              </a:cxn>
                              <a:cxn ang="0">
                                <a:pos x="2127" y="752"/>
                              </a:cxn>
                              <a:cxn ang="0">
                                <a:pos x="1908" y="795"/>
                              </a:cxn>
                            </a:cxnLst>
                            <a:rect l="0" t="0" r="r" b="b"/>
                            <a:pathLst>
                              <a:path w="2127" h="795">
                                <a:moveTo>
                                  <a:pt x="1908" y="795"/>
                                </a:moveTo>
                                <a:lnTo>
                                  <a:pt x="0" y="34"/>
                                </a:lnTo>
                                <a:lnTo>
                                  <a:pt x="241" y="0"/>
                                </a:lnTo>
                                <a:lnTo>
                                  <a:pt x="2127" y="752"/>
                                </a:lnTo>
                                <a:lnTo>
                                  <a:pt x="1908" y="795"/>
                                </a:lnTo>
                                <a:close/>
                              </a:path>
                            </a:pathLst>
                          </a:custGeom>
                          <a:solidFill>
                            <a:srgbClr val="8A8988"/>
                          </a:solidFill>
                          <a:ln w="9525">
                            <a:noFill/>
                            <a:round/>
                            <a:headEnd/>
                            <a:tailEnd/>
                          </a:ln>
                        </wps:spPr>
                        <wps:bodyPr>
                          <a:prstTxWarp prst="textNoShape">
                            <a:avLst/>
                          </a:prstTxWarp>
                        </wps:bodyPr>
                      </wps:wsp>
                      <wps:wsp>
                        <wps:cNvPr id="2047755223" name="Freeform 162"/>
                        <wps:cNvSpPr>
                          <a:spLocks/>
                        </wps:cNvSpPr>
                        <wps:spPr bwMode="auto">
                          <a:xfrm>
                            <a:off x="3838857" y="0"/>
                            <a:ext cx="1320800" cy="546100"/>
                          </a:xfrm>
                          <a:custGeom>
                            <a:avLst/>
                            <a:gdLst/>
                            <a:ahLst/>
                            <a:cxnLst>
                              <a:cxn ang="0">
                                <a:pos x="1894" y="766"/>
                              </a:cxn>
                              <a:cxn ang="0">
                                <a:pos x="0" y="11"/>
                              </a:cxn>
                              <a:cxn ang="0">
                                <a:pos x="78" y="0"/>
                              </a:cxn>
                              <a:cxn ang="0">
                                <a:pos x="1964" y="752"/>
                              </a:cxn>
                              <a:cxn ang="0">
                                <a:pos x="1894" y="766"/>
                              </a:cxn>
                            </a:cxnLst>
                            <a:rect l="0" t="0" r="r" b="b"/>
                            <a:pathLst>
                              <a:path w="1964" h="766">
                                <a:moveTo>
                                  <a:pt x="1894" y="766"/>
                                </a:moveTo>
                                <a:lnTo>
                                  <a:pt x="0" y="11"/>
                                </a:lnTo>
                                <a:lnTo>
                                  <a:pt x="78" y="0"/>
                                </a:lnTo>
                                <a:lnTo>
                                  <a:pt x="1964" y="752"/>
                                </a:lnTo>
                                <a:lnTo>
                                  <a:pt x="1894" y="766"/>
                                </a:lnTo>
                                <a:close/>
                              </a:path>
                            </a:pathLst>
                          </a:custGeom>
                          <a:solidFill>
                            <a:srgbClr val="898887"/>
                          </a:solidFill>
                          <a:ln w="9525">
                            <a:noFill/>
                            <a:round/>
                            <a:headEnd/>
                            <a:tailEnd/>
                          </a:ln>
                        </wps:spPr>
                        <wps:bodyPr>
                          <a:prstTxWarp prst="textNoShape">
                            <a:avLst/>
                          </a:prstTxWarp>
                        </wps:bodyPr>
                      </wps:wsp>
                      <wps:wsp>
                        <wps:cNvPr id="2047755224" name="Freeform 163"/>
                        <wps:cNvSpPr>
                          <a:spLocks/>
                        </wps:cNvSpPr>
                        <wps:spPr bwMode="auto">
                          <a:xfrm>
                            <a:off x="495582" y="1"/>
                            <a:ext cx="4664075" cy="1169987"/>
                          </a:xfrm>
                          <a:custGeom>
                            <a:avLst/>
                            <a:gdLst/>
                            <a:ahLst/>
                            <a:cxnLst>
                              <a:cxn ang="0">
                                <a:pos x="0" y="703"/>
                              </a:cxn>
                              <a:cxn ang="0">
                                <a:pos x="5051" y="0"/>
                              </a:cxn>
                              <a:cxn ang="0">
                                <a:pos x="6937" y="752"/>
                              </a:cxn>
                              <a:cxn ang="0">
                                <a:pos x="2357" y="1644"/>
                              </a:cxn>
                              <a:cxn ang="0">
                                <a:pos x="0" y="703"/>
                              </a:cxn>
                            </a:cxnLst>
                            <a:rect l="0" t="0" r="r" b="b"/>
                            <a:pathLst>
                              <a:path w="6937" h="1644">
                                <a:moveTo>
                                  <a:pt x="0" y="703"/>
                                </a:moveTo>
                                <a:lnTo>
                                  <a:pt x="5051" y="0"/>
                                </a:lnTo>
                                <a:lnTo>
                                  <a:pt x="6937" y="752"/>
                                </a:lnTo>
                                <a:lnTo>
                                  <a:pt x="2357" y="1644"/>
                                </a:lnTo>
                                <a:lnTo>
                                  <a:pt x="0" y="703"/>
                                </a:lnTo>
                                <a:close/>
                              </a:path>
                            </a:pathLst>
                          </a:custGeom>
                          <a:solidFill>
                            <a:schemeClr val="bg1">
                              <a:lumMod val="75000"/>
                            </a:schemeClr>
                          </a:solidFill>
                          <a:ln w="6350">
                            <a:solidFill>
                              <a:srgbClr val="1F1A17"/>
                            </a:solidFill>
                            <a:prstDash val="solid"/>
                            <a:round/>
                            <a:headEnd/>
                            <a:tailEnd/>
                          </a:ln>
                        </wps:spPr>
                        <wps:bodyPr>
                          <a:prstTxWarp prst="textNoShape">
                            <a:avLst/>
                          </a:prstTxWarp>
                        </wps:bodyPr>
                      </wps:wsp>
                      <wps:wsp>
                        <wps:cNvPr id="2047755225" name="Freeform 164"/>
                        <wps:cNvSpPr>
                          <a:spLocks/>
                        </wps:cNvSpPr>
                        <wps:spPr bwMode="auto">
                          <a:xfrm>
                            <a:off x="2081230" y="1133476"/>
                            <a:ext cx="1257167" cy="2141537"/>
                          </a:xfrm>
                          <a:custGeom>
                            <a:avLst/>
                            <a:gdLst/>
                            <a:ahLst/>
                            <a:cxnLst>
                              <a:cxn ang="0">
                                <a:pos x="266" y="0"/>
                              </a:cxn>
                              <a:cxn ang="0">
                                <a:pos x="1871" y="2925"/>
                              </a:cxn>
                              <a:cxn ang="0">
                                <a:pos x="1624" y="3011"/>
                              </a:cxn>
                              <a:cxn ang="0">
                                <a:pos x="0" y="52"/>
                              </a:cxn>
                              <a:cxn ang="0">
                                <a:pos x="266" y="0"/>
                              </a:cxn>
                            </a:cxnLst>
                            <a:rect l="0" t="0" r="r" b="b"/>
                            <a:pathLst>
                              <a:path w="1871" h="3011">
                                <a:moveTo>
                                  <a:pt x="266" y="0"/>
                                </a:moveTo>
                                <a:lnTo>
                                  <a:pt x="1871" y="2925"/>
                                </a:lnTo>
                                <a:lnTo>
                                  <a:pt x="1624" y="3011"/>
                                </a:lnTo>
                                <a:lnTo>
                                  <a:pt x="0" y="52"/>
                                </a:lnTo>
                                <a:lnTo>
                                  <a:pt x="266" y="0"/>
                                </a:lnTo>
                                <a:close/>
                              </a:path>
                            </a:pathLst>
                          </a:custGeom>
                          <a:solidFill>
                            <a:srgbClr val="A2A1A0"/>
                          </a:solidFill>
                          <a:ln w="9525">
                            <a:noFill/>
                            <a:round/>
                            <a:headEnd/>
                            <a:tailEnd/>
                          </a:ln>
                        </wps:spPr>
                        <wps:bodyPr>
                          <a:prstTxWarp prst="textNoShape">
                            <a:avLst/>
                          </a:prstTxWarp>
                        </wps:bodyPr>
                      </wps:wsp>
                      <wps:wsp>
                        <wps:cNvPr id="2047755226" name="Freeform 165"/>
                        <wps:cNvSpPr>
                          <a:spLocks/>
                        </wps:cNvSpPr>
                        <wps:spPr bwMode="auto">
                          <a:xfrm>
                            <a:off x="2162059" y="1111251"/>
                            <a:ext cx="1265767" cy="2136775"/>
                          </a:xfrm>
                          <a:custGeom>
                            <a:avLst/>
                            <a:gdLst/>
                            <a:ahLst/>
                            <a:cxnLst>
                              <a:cxn ang="0">
                                <a:pos x="1616" y="3001"/>
                              </a:cxn>
                              <a:cxn ang="0">
                                <a:pos x="0" y="57"/>
                              </a:cxn>
                              <a:cxn ang="0">
                                <a:pos x="290" y="0"/>
                              </a:cxn>
                              <a:cxn ang="0">
                                <a:pos x="1884" y="2907"/>
                              </a:cxn>
                              <a:cxn ang="0">
                                <a:pos x="1616" y="3001"/>
                              </a:cxn>
                            </a:cxnLst>
                            <a:rect l="0" t="0" r="r" b="b"/>
                            <a:pathLst>
                              <a:path w="1884" h="3001">
                                <a:moveTo>
                                  <a:pt x="1616" y="3001"/>
                                </a:moveTo>
                                <a:lnTo>
                                  <a:pt x="0" y="57"/>
                                </a:lnTo>
                                <a:lnTo>
                                  <a:pt x="290" y="0"/>
                                </a:lnTo>
                                <a:lnTo>
                                  <a:pt x="1884" y="2907"/>
                                </a:lnTo>
                                <a:lnTo>
                                  <a:pt x="1616" y="3001"/>
                                </a:lnTo>
                                <a:close/>
                              </a:path>
                            </a:pathLst>
                          </a:custGeom>
                          <a:solidFill>
                            <a:srgbClr val="A1A09F"/>
                          </a:solidFill>
                          <a:ln w="9525">
                            <a:noFill/>
                            <a:round/>
                            <a:headEnd/>
                            <a:tailEnd/>
                          </a:ln>
                        </wps:spPr>
                        <wps:bodyPr>
                          <a:prstTxWarp prst="textNoShape">
                            <a:avLst/>
                          </a:prstTxWarp>
                        </wps:bodyPr>
                      </wps:wsp>
                      <wps:wsp>
                        <wps:cNvPr id="2047755227" name="Freeform 166"/>
                        <wps:cNvSpPr>
                          <a:spLocks/>
                        </wps:cNvSpPr>
                        <wps:spPr bwMode="auto">
                          <a:xfrm>
                            <a:off x="2260088" y="1092200"/>
                            <a:ext cx="1258888" cy="2120900"/>
                          </a:xfrm>
                          <a:custGeom>
                            <a:avLst/>
                            <a:gdLst/>
                            <a:ahLst/>
                            <a:cxnLst>
                              <a:cxn ang="0">
                                <a:pos x="1605" y="2982"/>
                              </a:cxn>
                              <a:cxn ang="0">
                                <a:pos x="0" y="57"/>
                              </a:cxn>
                              <a:cxn ang="0">
                                <a:pos x="288" y="0"/>
                              </a:cxn>
                              <a:cxn ang="0">
                                <a:pos x="1873" y="2888"/>
                              </a:cxn>
                              <a:cxn ang="0">
                                <a:pos x="1605" y="2982"/>
                              </a:cxn>
                            </a:cxnLst>
                            <a:rect l="0" t="0" r="r" b="b"/>
                            <a:pathLst>
                              <a:path w="1873" h="2982">
                                <a:moveTo>
                                  <a:pt x="1605" y="2982"/>
                                </a:moveTo>
                                <a:lnTo>
                                  <a:pt x="0" y="57"/>
                                </a:lnTo>
                                <a:lnTo>
                                  <a:pt x="288" y="0"/>
                                </a:lnTo>
                                <a:lnTo>
                                  <a:pt x="1873" y="2888"/>
                                </a:lnTo>
                                <a:lnTo>
                                  <a:pt x="1605" y="2982"/>
                                </a:lnTo>
                                <a:close/>
                              </a:path>
                            </a:pathLst>
                          </a:custGeom>
                          <a:solidFill>
                            <a:srgbClr val="A09F9F"/>
                          </a:solidFill>
                          <a:ln w="9525">
                            <a:noFill/>
                            <a:round/>
                            <a:headEnd/>
                            <a:tailEnd/>
                          </a:ln>
                        </wps:spPr>
                        <wps:bodyPr>
                          <a:prstTxWarp prst="textNoShape">
                            <a:avLst/>
                          </a:prstTxWarp>
                        </wps:bodyPr>
                      </wps:wsp>
                      <wps:wsp>
                        <wps:cNvPr id="2047755228" name="Freeform 167"/>
                        <wps:cNvSpPr>
                          <a:spLocks/>
                        </wps:cNvSpPr>
                        <wps:spPr bwMode="auto">
                          <a:xfrm>
                            <a:off x="2356396" y="1073150"/>
                            <a:ext cx="1252008" cy="2106612"/>
                          </a:xfrm>
                          <a:custGeom>
                            <a:avLst/>
                            <a:gdLst/>
                            <a:ahLst/>
                            <a:cxnLst>
                              <a:cxn ang="0">
                                <a:pos x="1594" y="2962"/>
                              </a:cxn>
                              <a:cxn ang="0">
                                <a:pos x="0" y="55"/>
                              </a:cxn>
                              <a:cxn ang="0">
                                <a:pos x="288" y="0"/>
                              </a:cxn>
                              <a:cxn ang="0">
                                <a:pos x="1862" y="2868"/>
                              </a:cxn>
                              <a:cxn ang="0">
                                <a:pos x="1594" y="2962"/>
                              </a:cxn>
                            </a:cxnLst>
                            <a:rect l="0" t="0" r="r" b="b"/>
                            <a:pathLst>
                              <a:path w="1862" h="2962">
                                <a:moveTo>
                                  <a:pt x="1594" y="2962"/>
                                </a:moveTo>
                                <a:lnTo>
                                  <a:pt x="0" y="55"/>
                                </a:lnTo>
                                <a:lnTo>
                                  <a:pt x="288" y="0"/>
                                </a:lnTo>
                                <a:lnTo>
                                  <a:pt x="1862" y="2868"/>
                                </a:lnTo>
                                <a:lnTo>
                                  <a:pt x="1594" y="2962"/>
                                </a:lnTo>
                                <a:close/>
                              </a:path>
                            </a:pathLst>
                          </a:custGeom>
                          <a:solidFill>
                            <a:srgbClr val="9F9E9E"/>
                          </a:solidFill>
                          <a:ln w="9525">
                            <a:noFill/>
                            <a:round/>
                            <a:headEnd/>
                            <a:tailEnd/>
                          </a:ln>
                        </wps:spPr>
                        <wps:bodyPr>
                          <a:prstTxWarp prst="textNoShape">
                            <a:avLst/>
                          </a:prstTxWarp>
                        </wps:bodyPr>
                      </wps:wsp>
                      <wps:wsp>
                        <wps:cNvPr id="2047755229" name="Freeform 168"/>
                        <wps:cNvSpPr>
                          <a:spLocks/>
                        </wps:cNvSpPr>
                        <wps:spPr bwMode="auto">
                          <a:xfrm>
                            <a:off x="2454424" y="1054100"/>
                            <a:ext cx="1243410" cy="2093912"/>
                          </a:xfrm>
                          <a:custGeom>
                            <a:avLst/>
                            <a:gdLst/>
                            <a:ahLst/>
                            <a:cxnLst>
                              <a:cxn ang="0">
                                <a:pos x="1585" y="2943"/>
                              </a:cxn>
                              <a:cxn ang="0">
                                <a:pos x="0" y="55"/>
                              </a:cxn>
                              <a:cxn ang="0">
                                <a:pos x="290" y="0"/>
                              </a:cxn>
                              <a:cxn ang="0">
                                <a:pos x="1853" y="2849"/>
                              </a:cxn>
                              <a:cxn ang="0">
                                <a:pos x="1585" y="2943"/>
                              </a:cxn>
                            </a:cxnLst>
                            <a:rect l="0" t="0" r="r" b="b"/>
                            <a:pathLst>
                              <a:path w="1853" h="2943">
                                <a:moveTo>
                                  <a:pt x="1585" y="2943"/>
                                </a:moveTo>
                                <a:lnTo>
                                  <a:pt x="0" y="55"/>
                                </a:lnTo>
                                <a:lnTo>
                                  <a:pt x="290" y="0"/>
                                </a:lnTo>
                                <a:lnTo>
                                  <a:pt x="1853" y="2849"/>
                                </a:lnTo>
                                <a:lnTo>
                                  <a:pt x="1585" y="2943"/>
                                </a:lnTo>
                                <a:close/>
                              </a:path>
                            </a:pathLst>
                          </a:custGeom>
                          <a:solidFill>
                            <a:srgbClr val="9F9E9D"/>
                          </a:solidFill>
                          <a:ln w="9525">
                            <a:noFill/>
                            <a:round/>
                            <a:headEnd/>
                            <a:tailEnd/>
                          </a:ln>
                        </wps:spPr>
                        <wps:bodyPr>
                          <a:prstTxWarp prst="textNoShape">
                            <a:avLst/>
                          </a:prstTxWarp>
                        </wps:bodyPr>
                      </wps:wsp>
                      <wps:wsp>
                        <wps:cNvPr id="2047755230" name="Freeform 169"/>
                        <wps:cNvSpPr>
                          <a:spLocks/>
                        </wps:cNvSpPr>
                        <wps:spPr bwMode="auto">
                          <a:xfrm>
                            <a:off x="2550732" y="1033463"/>
                            <a:ext cx="1239970" cy="2079625"/>
                          </a:xfrm>
                          <a:custGeom>
                            <a:avLst/>
                            <a:gdLst/>
                            <a:ahLst/>
                            <a:cxnLst>
                              <a:cxn ang="0">
                                <a:pos x="1574" y="2924"/>
                              </a:cxn>
                              <a:cxn ang="0">
                                <a:pos x="0" y="56"/>
                              </a:cxn>
                              <a:cxn ang="0">
                                <a:pos x="290" y="0"/>
                              </a:cxn>
                              <a:cxn ang="0">
                                <a:pos x="1844" y="2830"/>
                              </a:cxn>
                              <a:cxn ang="0">
                                <a:pos x="1574" y="2924"/>
                              </a:cxn>
                            </a:cxnLst>
                            <a:rect l="0" t="0" r="r" b="b"/>
                            <a:pathLst>
                              <a:path w="1844" h="2924">
                                <a:moveTo>
                                  <a:pt x="1574" y="2924"/>
                                </a:moveTo>
                                <a:lnTo>
                                  <a:pt x="0" y="56"/>
                                </a:lnTo>
                                <a:lnTo>
                                  <a:pt x="290" y="0"/>
                                </a:lnTo>
                                <a:lnTo>
                                  <a:pt x="1844" y="2830"/>
                                </a:lnTo>
                                <a:lnTo>
                                  <a:pt x="1574" y="2924"/>
                                </a:lnTo>
                                <a:close/>
                              </a:path>
                            </a:pathLst>
                          </a:custGeom>
                          <a:solidFill>
                            <a:srgbClr val="9E9D9C"/>
                          </a:solidFill>
                          <a:ln w="9525">
                            <a:noFill/>
                            <a:round/>
                            <a:headEnd/>
                            <a:tailEnd/>
                          </a:ln>
                        </wps:spPr>
                        <wps:bodyPr>
                          <a:prstTxWarp prst="textNoShape">
                            <a:avLst/>
                          </a:prstTxWarp>
                        </wps:bodyPr>
                      </wps:wsp>
                      <wps:wsp>
                        <wps:cNvPr id="2047755231" name="Freeform 170"/>
                        <wps:cNvSpPr>
                          <a:spLocks/>
                        </wps:cNvSpPr>
                        <wps:spPr bwMode="auto">
                          <a:xfrm>
                            <a:off x="2647041" y="1012826"/>
                            <a:ext cx="1233091" cy="2066925"/>
                          </a:xfrm>
                          <a:custGeom>
                            <a:avLst/>
                            <a:gdLst/>
                            <a:ahLst/>
                            <a:cxnLst>
                              <a:cxn ang="0">
                                <a:pos x="1563" y="2905"/>
                              </a:cxn>
                              <a:cxn ang="0">
                                <a:pos x="0" y="56"/>
                              </a:cxn>
                              <a:cxn ang="0">
                                <a:pos x="288" y="0"/>
                              </a:cxn>
                              <a:cxn ang="0">
                                <a:pos x="1833" y="2812"/>
                              </a:cxn>
                              <a:cxn ang="0">
                                <a:pos x="1563" y="2905"/>
                              </a:cxn>
                            </a:cxnLst>
                            <a:rect l="0" t="0" r="r" b="b"/>
                            <a:pathLst>
                              <a:path w="1833" h="2905">
                                <a:moveTo>
                                  <a:pt x="1563" y="2905"/>
                                </a:moveTo>
                                <a:lnTo>
                                  <a:pt x="0" y="56"/>
                                </a:lnTo>
                                <a:lnTo>
                                  <a:pt x="288" y="0"/>
                                </a:lnTo>
                                <a:lnTo>
                                  <a:pt x="1833" y="2812"/>
                                </a:lnTo>
                                <a:lnTo>
                                  <a:pt x="1563" y="2905"/>
                                </a:lnTo>
                                <a:close/>
                              </a:path>
                            </a:pathLst>
                          </a:custGeom>
                          <a:solidFill>
                            <a:srgbClr val="9D9C9B"/>
                          </a:solidFill>
                          <a:ln w="9525">
                            <a:noFill/>
                            <a:round/>
                            <a:headEnd/>
                            <a:tailEnd/>
                          </a:ln>
                        </wps:spPr>
                        <wps:bodyPr>
                          <a:prstTxWarp prst="textNoShape">
                            <a:avLst/>
                          </a:prstTxWarp>
                        </wps:bodyPr>
                      </wps:wsp>
                      <wps:wsp>
                        <wps:cNvPr id="2047755232" name="Freeform 171"/>
                        <wps:cNvSpPr>
                          <a:spLocks/>
                        </wps:cNvSpPr>
                        <wps:spPr bwMode="auto">
                          <a:xfrm>
                            <a:off x="2746789" y="993776"/>
                            <a:ext cx="1222772" cy="2052637"/>
                          </a:xfrm>
                          <a:custGeom>
                            <a:avLst/>
                            <a:gdLst/>
                            <a:ahLst/>
                            <a:cxnLst>
                              <a:cxn ang="0">
                                <a:pos x="1554" y="2886"/>
                              </a:cxn>
                              <a:cxn ang="0">
                                <a:pos x="0" y="56"/>
                              </a:cxn>
                              <a:cxn ang="0">
                                <a:pos x="288" y="0"/>
                              </a:cxn>
                              <a:cxn ang="0">
                                <a:pos x="1822" y="2793"/>
                              </a:cxn>
                              <a:cxn ang="0">
                                <a:pos x="1554" y="2886"/>
                              </a:cxn>
                            </a:cxnLst>
                            <a:rect l="0" t="0" r="r" b="b"/>
                            <a:pathLst>
                              <a:path w="1822" h="2886">
                                <a:moveTo>
                                  <a:pt x="1554" y="2886"/>
                                </a:moveTo>
                                <a:lnTo>
                                  <a:pt x="0" y="56"/>
                                </a:lnTo>
                                <a:lnTo>
                                  <a:pt x="288" y="0"/>
                                </a:lnTo>
                                <a:lnTo>
                                  <a:pt x="1822" y="2793"/>
                                </a:lnTo>
                                <a:lnTo>
                                  <a:pt x="1554" y="2886"/>
                                </a:lnTo>
                                <a:close/>
                              </a:path>
                            </a:pathLst>
                          </a:custGeom>
                          <a:solidFill>
                            <a:srgbClr val="9C9B9B"/>
                          </a:solidFill>
                          <a:ln w="9525">
                            <a:noFill/>
                            <a:round/>
                            <a:headEnd/>
                            <a:tailEnd/>
                          </a:ln>
                        </wps:spPr>
                        <wps:bodyPr>
                          <a:prstTxWarp prst="textNoShape">
                            <a:avLst/>
                          </a:prstTxWarp>
                        </wps:bodyPr>
                      </wps:wsp>
                      <wps:wsp>
                        <wps:cNvPr id="2047755233" name="Freeform 172"/>
                        <wps:cNvSpPr>
                          <a:spLocks/>
                        </wps:cNvSpPr>
                        <wps:spPr bwMode="auto">
                          <a:xfrm>
                            <a:off x="2841378" y="973137"/>
                            <a:ext cx="1219332" cy="2039938"/>
                          </a:xfrm>
                          <a:custGeom>
                            <a:avLst/>
                            <a:gdLst/>
                            <a:ahLst/>
                            <a:cxnLst>
                              <a:cxn ang="0">
                                <a:pos x="1545" y="2868"/>
                              </a:cxn>
                              <a:cxn ang="0">
                                <a:pos x="0" y="56"/>
                              </a:cxn>
                              <a:cxn ang="0">
                                <a:pos x="290" y="0"/>
                              </a:cxn>
                              <a:cxn ang="0">
                                <a:pos x="1813" y="2775"/>
                              </a:cxn>
                              <a:cxn ang="0">
                                <a:pos x="1545" y="2868"/>
                              </a:cxn>
                            </a:cxnLst>
                            <a:rect l="0" t="0" r="r" b="b"/>
                            <a:pathLst>
                              <a:path w="1813" h="2868">
                                <a:moveTo>
                                  <a:pt x="1545" y="2868"/>
                                </a:moveTo>
                                <a:lnTo>
                                  <a:pt x="0" y="56"/>
                                </a:lnTo>
                                <a:lnTo>
                                  <a:pt x="290" y="0"/>
                                </a:lnTo>
                                <a:lnTo>
                                  <a:pt x="1813" y="2775"/>
                                </a:lnTo>
                                <a:lnTo>
                                  <a:pt x="1545" y="2868"/>
                                </a:lnTo>
                                <a:close/>
                              </a:path>
                            </a:pathLst>
                          </a:custGeom>
                          <a:solidFill>
                            <a:srgbClr val="9B9A9A"/>
                          </a:solidFill>
                          <a:ln w="9525">
                            <a:noFill/>
                            <a:round/>
                            <a:headEnd/>
                            <a:tailEnd/>
                          </a:ln>
                        </wps:spPr>
                        <wps:bodyPr>
                          <a:prstTxWarp prst="textNoShape">
                            <a:avLst/>
                          </a:prstTxWarp>
                        </wps:bodyPr>
                      </wps:wsp>
                      <wps:wsp>
                        <wps:cNvPr id="2047755234" name="Freeform 173"/>
                        <wps:cNvSpPr>
                          <a:spLocks/>
                        </wps:cNvSpPr>
                        <wps:spPr bwMode="auto">
                          <a:xfrm>
                            <a:off x="2939405" y="954087"/>
                            <a:ext cx="1210733" cy="2027238"/>
                          </a:xfrm>
                          <a:custGeom>
                            <a:avLst/>
                            <a:gdLst/>
                            <a:ahLst/>
                            <a:cxnLst>
                              <a:cxn ang="0">
                                <a:pos x="1534" y="2850"/>
                              </a:cxn>
                              <a:cxn ang="0">
                                <a:pos x="0" y="57"/>
                              </a:cxn>
                              <a:cxn ang="0">
                                <a:pos x="288" y="0"/>
                              </a:cxn>
                              <a:cxn ang="0">
                                <a:pos x="1802" y="2757"/>
                              </a:cxn>
                              <a:cxn ang="0">
                                <a:pos x="1534" y="2850"/>
                              </a:cxn>
                            </a:cxnLst>
                            <a:rect l="0" t="0" r="r" b="b"/>
                            <a:pathLst>
                              <a:path w="1802" h="2850">
                                <a:moveTo>
                                  <a:pt x="1534" y="2850"/>
                                </a:moveTo>
                                <a:lnTo>
                                  <a:pt x="0" y="57"/>
                                </a:lnTo>
                                <a:lnTo>
                                  <a:pt x="288" y="0"/>
                                </a:lnTo>
                                <a:lnTo>
                                  <a:pt x="1802" y="2757"/>
                                </a:lnTo>
                                <a:lnTo>
                                  <a:pt x="1534" y="2850"/>
                                </a:lnTo>
                                <a:close/>
                              </a:path>
                            </a:pathLst>
                          </a:custGeom>
                          <a:solidFill>
                            <a:srgbClr val="9B9A99"/>
                          </a:solidFill>
                          <a:ln w="9525">
                            <a:noFill/>
                            <a:round/>
                            <a:headEnd/>
                            <a:tailEnd/>
                          </a:ln>
                        </wps:spPr>
                        <wps:bodyPr>
                          <a:prstTxWarp prst="textNoShape">
                            <a:avLst/>
                          </a:prstTxWarp>
                        </wps:bodyPr>
                      </wps:wsp>
                      <wps:wsp>
                        <wps:cNvPr id="2047755235" name="Freeform 174"/>
                        <wps:cNvSpPr>
                          <a:spLocks/>
                        </wps:cNvSpPr>
                        <wps:spPr bwMode="auto">
                          <a:xfrm>
                            <a:off x="3035713" y="931862"/>
                            <a:ext cx="1203854" cy="2014538"/>
                          </a:xfrm>
                          <a:custGeom>
                            <a:avLst/>
                            <a:gdLst/>
                            <a:ahLst/>
                            <a:cxnLst>
                              <a:cxn ang="0">
                                <a:pos x="1523" y="2832"/>
                              </a:cxn>
                              <a:cxn ang="0">
                                <a:pos x="0" y="57"/>
                              </a:cxn>
                              <a:cxn ang="0">
                                <a:pos x="288" y="0"/>
                              </a:cxn>
                              <a:cxn ang="0">
                                <a:pos x="1791" y="2738"/>
                              </a:cxn>
                              <a:cxn ang="0">
                                <a:pos x="1523" y="2832"/>
                              </a:cxn>
                            </a:cxnLst>
                            <a:rect l="0" t="0" r="r" b="b"/>
                            <a:pathLst>
                              <a:path w="1791" h="2832">
                                <a:moveTo>
                                  <a:pt x="1523" y="2832"/>
                                </a:moveTo>
                                <a:lnTo>
                                  <a:pt x="0" y="57"/>
                                </a:lnTo>
                                <a:lnTo>
                                  <a:pt x="288" y="0"/>
                                </a:lnTo>
                                <a:lnTo>
                                  <a:pt x="1791" y="2738"/>
                                </a:lnTo>
                                <a:lnTo>
                                  <a:pt x="1523" y="2832"/>
                                </a:lnTo>
                                <a:close/>
                              </a:path>
                            </a:pathLst>
                          </a:custGeom>
                          <a:solidFill>
                            <a:srgbClr val="9A9998"/>
                          </a:solidFill>
                          <a:ln w="9525">
                            <a:noFill/>
                            <a:round/>
                            <a:headEnd/>
                            <a:tailEnd/>
                          </a:ln>
                        </wps:spPr>
                        <wps:bodyPr>
                          <a:prstTxWarp prst="textNoShape">
                            <a:avLst/>
                          </a:prstTxWarp>
                        </wps:bodyPr>
                      </wps:wsp>
                      <wps:wsp>
                        <wps:cNvPr id="2047755236" name="Freeform 175"/>
                        <wps:cNvSpPr>
                          <a:spLocks/>
                        </wps:cNvSpPr>
                        <wps:spPr bwMode="auto">
                          <a:xfrm>
                            <a:off x="3133742" y="912812"/>
                            <a:ext cx="1196975" cy="2001838"/>
                          </a:xfrm>
                          <a:custGeom>
                            <a:avLst/>
                            <a:gdLst/>
                            <a:ahLst/>
                            <a:cxnLst>
                              <a:cxn ang="0">
                                <a:pos x="1514" y="2813"/>
                              </a:cxn>
                              <a:cxn ang="0">
                                <a:pos x="0" y="56"/>
                              </a:cxn>
                              <a:cxn ang="0">
                                <a:pos x="290" y="0"/>
                              </a:cxn>
                              <a:cxn ang="0">
                                <a:pos x="1782" y="2719"/>
                              </a:cxn>
                              <a:cxn ang="0">
                                <a:pos x="1514" y="2813"/>
                              </a:cxn>
                            </a:cxnLst>
                            <a:rect l="0" t="0" r="r" b="b"/>
                            <a:pathLst>
                              <a:path w="1782" h="2813">
                                <a:moveTo>
                                  <a:pt x="1514" y="2813"/>
                                </a:moveTo>
                                <a:lnTo>
                                  <a:pt x="0" y="56"/>
                                </a:lnTo>
                                <a:lnTo>
                                  <a:pt x="290" y="0"/>
                                </a:lnTo>
                                <a:lnTo>
                                  <a:pt x="1782" y="2719"/>
                                </a:lnTo>
                                <a:lnTo>
                                  <a:pt x="1514" y="2813"/>
                                </a:lnTo>
                                <a:close/>
                              </a:path>
                            </a:pathLst>
                          </a:custGeom>
                          <a:solidFill>
                            <a:srgbClr val="999897"/>
                          </a:solidFill>
                          <a:ln w="9525">
                            <a:noFill/>
                            <a:round/>
                            <a:headEnd/>
                            <a:tailEnd/>
                          </a:ln>
                        </wps:spPr>
                        <wps:bodyPr>
                          <a:prstTxWarp prst="textNoShape">
                            <a:avLst/>
                          </a:prstTxWarp>
                        </wps:bodyPr>
                      </wps:wsp>
                      <wps:wsp>
                        <wps:cNvPr id="2047755237" name="Freeform 176"/>
                        <wps:cNvSpPr>
                          <a:spLocks/>
                        </wps:cNvSpPr>
                        <wps:spPr bwMode="auto">
                          <a:xfrm>
                            <a:off x="3230050" y="893762"/>
                            <a:ext cx="1190096" cy="1987550"/>
                          </a:xfrm>
                          <a:custGeom>
                            <a:avLst/>
                            <a:gdLst/>
                            <a:ahLst/>
                            <a:cxnLst>
                              <a:cxn ang="0">
                                <a:pos x="1503" y="2794"/>
                              </a:cxn>
                              <a:cxn ang="0">
                                <a:pos x="0" y="56"/>
                              </a:cxn>
                              <a:cxn ang="0">
                                <a:pos x="288" y="0"/>
                              </a:cxn>
                              <a:cxn ang="0">
                                <a:pos x="1771" y="2700"/>
                              </a:cxn>
                              <a:cxn ang="0">
                                <a:pos x="1503" y="2794"/>
                              </a:cxn>
                            </a:cxnLst>
                            <a:rect l="0" t="0" r="r" b="b"/>
                            <a:pathLst>
                              <a:path w="1771" h="2794">
                                <a:moveTo>
                                  <a:pt x="1503" y="2794"/>
                                </a:moveTo>
                                <a:lnTo>
                                  <a:pt x="0" y="56"/>
                                </a:lnTo>
                                <a:lnTo>
                                  <a:pt x="288" y="0"/>
                                </a:lnTo>
                                <a:lnTo>
                                  <a:pt x="1771" y="2700"/>
                                </a:lnTo>
                                <a:lnTo>
                                  <a:pt x="1503" y="2794"/>
                                </a:lnTo>
                                <a:close/>
                              </a:path>
                            </a:pathLst>
                          </a:custGeom>
                          <a:solidFill>
                            <a:srgbClr val="989797"/>
                          </a:solidFill>
                          <a:ln w="9525">
                            <a:noFill/>
                            <a:round/>
                            <a:headEnd/>
                            <a:tailEnd/>
                          </a:ln>
                        </wps:spPr>
                        <wps:bodyPr>
                          <a:prstTxWarp prst="textNoShape">
                            <a:avLst/>
                          </a:prstTxWarp>
                        </wps:bodyPr>
                      </wps:wsp>
                      <wps:wsp>
                        <wps:cNvPr id="2047755238" name="Freeform 177"/>
                        <wps:cNvSpPr>
                          <a:spLocks/>
                        </wps:cNvSpPr>
                        <wps:spPr bwMode="auto">
                          <a:xfrm>
                            <a:off x="3326359" y="873125"/>
                            <a:ext cx="1184936" cy="1973262"/>
                          </a:xfrm>
                          <a:custGeom>
                            <a:avLst/>
                            <a:gdLst/>
                            <a:ahLst/>
                            <a:cxnLst>
                              <a:cxn ang="0">
                                <a:pos x="1492" y="2775"/>
                              </a:cxn>
                              <a:cxn ang="0">
                                <a:pos x="0" y="56"/>
                              </a:cxn>
                              <a:cxn ang="0">
                                <a:pos x="288" y="0"/>
                              </a:cxn>
                              <a:cxn ang="0">
                                <a:pos x="1761" y="2681"/>
                              </a:cxn>
                              <a:cxn ang="0">
                                <a:pos x="1492" y="2775"/>
                              </a:cxn>
                            </a:cxnLst>
                            <a:rect l="0" t="0" r="r" b="b"/>
                            <a:pathLst>
                              <a:path w="1761" h="2775">
                                <a:moveTo>
                                  <a:pt x="1492" y="2775"/>
                                </a:moveTo>
                                <a:lnTo>
                                  <a:pt x="0" y="56"/>
                                </a:lnTo>
                                <a:lnTo>
                                  <a:pt x="288" y="0"/>
                                </a:lnTo>
                                <a:lnTo>
                                  <a:pt x="1761" y="2681"/>
                                </a:lnTo>
                                <a:lnTo>
                                  <a:pt x="1492" y="2775"/>
                                </a:lnTo>
                                <a:close/>
                              </a:path>
                            </a:pathLst>
                          </a:custGeom>
                          <a:solidFill>
                            <a:srgbClr val="979696"/>
                          </a:solidFill>
                          <a:ln w="9525">
                            <a:noFill/>
                            <a:round/>
                            <a:headEnd/>
                            <a:tailEnd/>
                          </a:ln>
                        </wps:spPr>
                        <wps:bodyPr>
                          <a:prstTxWarp prst="textNoShape">
                            <a:avLst/>
                          </a:prstTxWarp>
                        </wps:bodyPr>
                      </wps:wsp>
                      <wps:wsp>
                        <wps:cNvPr id="2047755239" name="Freeform 178"/>
                        <wps:cNvSpPr>
                          <a:spLocks/>
                        </wps:cNvSpPr>
                        <wps:spPr bwMode="auto">
                          <a:xfrm>
                            <a:off x="3424386" y="854075"/>
                            <a:ext cx="1176338" cy="1960562"/>
                          </a:xfrm>
                          <a:custGeom>
                            <a:avLst/>
                            <a:gdLst/>
                            <a:ahLst/>
                            <a:cxnLst>
                              <a:cxn ang="0">
                                <a:pos x="1483" y="2756"/>
                              </a:cxn>
                              <a:cxn ang="0">
                                <a:pos x="0" y="56"/>
                              </a:cxn>
                              <a:cxn ang="0">
                                <a:pos x="290" y="0"/>
                              </a:cxn>
                              <a:cxn ang="0">
                                <a:pos x="1752" y="2662"/>
                              </a:cxn>
                              <a:cxn ang="0">
                                <a:pos x="1483" y="2756"/>
                              </a:cxn>
                            </a:cxnLst>
                            <a:rect l="0" t="0" r="r" b="b"/>
                            <a:pathLst>
                              <a:path w="1752" h="2756">
                                <a:moveTo>
                                  <a:pt x="1483" y="2756"/>
                                </a:moveTo>
                                <a:lnTo>
                                  <a:pt x="0" y="56"/>
                                </a:lnTo>
                                <a:lnTo>
                                  <a:pt x="290" y="0"/>
                                </a:lnTo>
                                <a:lnTo>
                                  <a:pt x="1752" y="2662"/>
                                </a:lnTo>
                                <a:lnTo>
                                  <a:pt x="1483" y="2756"/>
                                </a:lnTo>
                                <a:close/>
                              </a:path>
                            </a:pathLst>
                          </a:custGeom>
                          <a:solidFill>
                            <a:srgbClr val="969595"/>
                          </a:solidFill>
                          <a:ln w="9525">
                            <a:noFill/>
                            <a:round/>
                            <a:headEnd/>
                            <a:tailEnd/>
                          </a:ln>
                        </wps:spPr>
                        <wps:bodyPr>
                          <a:prstTxWarp prst="textNoShape">
                            <a:avLst/>
                          </a:prstTxWarp>
                        </wps:bodyPr>
                      </wps:wsp>
                      <wps:wsp>
                        <wps:cNvPr id="2047755240" name="Freeform 179"/>
                        <wps:cNvSpPr>
                          <a:spLocks/>
                        </wps:cNvSpPr>
                        <wps:spPr bwMode="auto">
                          <a:xfrm>
                            <a:off x="3520694" y="835026"/>
                            <a:ext cx="1171179" cy="1944687"/>
                          </a:xfrm>
                          <a:custGeom>
                            <a:avLst/>
                            <a:gdLst/>
                            <a:ahLst/>
                            <a:cxnLst>
                              <a:cxn ang="0">
                                <a:pos x="1473" y="2737"/>
                              </a:cxn>
                              <a:cxn ang="0">
                                <a:pos x="0" y="56"/>
                              </a:cxn>
                              <a:cxn ang="0">
                                <a:pos x="290" y="0"/>
                              </a:cxn>
                              <a:cxn ang="0">
                                <a:pos x="1741" y="2644"/>
                              </a:cxn>
                              <a:cxn ang="0">
                                <a:pos x="1473" y="2737"/>
                              </a:cxn>
                            </a:cxnLst>
                            <a:rect l="0" t="0" r="r" b="b"/>
                            <a:pathLst>
                              <a:path w="1741" h="2737">
                                <a:moveTo>
                                  <a:pt x="1473" y="2737"/>
                                </a:moveTo>
                                <a:lnTo>
                                  <a:pt x="0" y="56"/>
                                </a:lnTo>
                                <a:lnTo>
                                  <a:pt x="290" y="0"/>
                                </a:lnTo>
                                <a:lnTo>
                                  <a:pt x="1741" y="2644"/>
                                </a:lnTo>
                                <a:lnTo>
                                  <a:pt x="1473" y="2737"/>
                                </a:lnTo>
                                <a:close/>
                              </a:path>
                            </a:pathLst>
                          </a:custGeom>
                          <a:solidFill>
                            <a:srgbClr val="959493"/>
                          </a:solidFill>
                          <a:ln w="9525">
                            <a:noFill/>
                            <a:round/>
                            <a:headEnd/>
                            <a:tailEnd/>
                          </a:ln>
                        </wps:spPr>
                        <wps:bodyPr>
                          <a:prstTxWarp prst="textNoShape">
                            <a:avLst/>
                          </a:prstTxWarp>
                        </wps:bodyPr>
                      </wps:wsp>
                      <wps:wsp>
                        <wps:cNvPr id="2047755241" name="Freeform 180"/>
                        <wps:cNvSpPr>
                          <a:spLocks/>
                        </wps:cNvSpPr>
                        <wps:spPr bwMode="auto">
                          <a:xfrm>
                            <a:off x="3618723" y="812801"/>
                            <a:ext cx="1162579" cy="1933575"/>
                          </a:xfrm>
                          <a:custGeom>
                            <a:avLst/>
                            <a:gdLst/>
                            <a:ahLst/>
                            <a:cxnLst>
                              <a:cxn ang="0">
                                <a:pos x="1462" y="2719"/>
                              </a:cxn>
                              <a:cxn ang="0">
                                <a:pos x="0" y="57"/>
                              </a:cxn>
                              <a:cxn ang="0">
                                <a:pos x="288" y="0"/>
                              </a:cxn>
                              <a:cxn ang="0">
                                <a:pos x="1730" y="2627"/>
                              </a:cxn>
                              <a:cxn ang="0">
                                <a:pos x="1462" y="2719"/>
                              </a:cxn>
                            </a:cxnLst>
                            <a:rect l="0" t="0" r="r" b="b"/>
                            <a:pathLst>
                              <a:path w="1730" h="2719">
                                <a:moveTo>
                                  <a:pt x="1462" y="2719"/>
                                </a:moveTo>
                                <a:lnTo>
                                  <a:pt x="0" y="57"/>
                                </a:lnTo>
                                <a:lnTo>
                                  <a:pt x="288" y="0"/>
                                </a:lnTo>
                                <a:lnTo>
                                  <a:pt x="1730" y="2627"/>
                                </a:lnTo>
                                <a:lnTo>
                                  <a:pt x="1462" y="2719"/>
                                </a:lnTo>
                                <a:close/>
                              </a:path>
                            </a:pathLst>
                          </a:custGeom>
                          <a:solidFill>
                            <a:srgbClr val="949393"/>
                          </a:solidFill>
                          <a:ln w="9525">
                            <a:noFill/>
                            <a:round/>
                            <a:headEnd/>
                            <a:tailEnd/>
                          </a:ln>
                        </wps:spPr>
                        <wps:bodyPr>
                          <a:prstTxWarp prst="textNoShape">
                            <a:avLst/>
                          </a:prstTxWarp>
                        </wps:bodyPr>
                      </wps:wsp>
                      <wps:wsp>
                        <wps:cNvPr id="2047755242" name="Freeform 181"/>
                        <wps:cNvSpPr>
                          <a:spLocks/>
                        </wps:cNvSpPr>
                        <wps:spPr bwMode="auto">
                          <a:xfrm>
                            <a:off x="3716751" y="793751"/>
                            <a:ext cx="1153981" cy="1920875"/>
                          </a:xfrm>
                          <a:custGeom>
                            <a:avLst/>
                            <a:gdLst/>
                            <a:ahLst/>
                            <a:cxnLst>
                              <a:cxn ang="0">
                                <a:pos x="1451" y="2701"/>
                              </a:cxn>
                              <a:cxn ang="0">
                                <a:pos x="0" y="57"/>
                              </a:cxn>
                              <a:cxn ang="0">
                                <a:pos x="288" y="0"/>
                              </a:cxn>
                              <a:cxn ang="0">
                                <a:pos x="1719" y="2608"/>
                              </a:cxn>
                              <a:cxn ang="0">
                                <a:pos x="1451" y="2701"/>
                              </a:cxn>
                            </a:cxnLst>
                            <a:rect l="0" t="0" r="r" b="b"/>
                            <a:pathLst>
                              <a:path w="1719" h="2701">
                                <a:moveTo>
                                  <a:pt x="1451" y="2701"/>
                                </a:moveTo>
                                <a:lnTo>
                                  <a:pt x="0" y="57"/>
                                </a:lnTo>
                                <a:lnTo>
                                  <a:pt x="288" y="0"/>
                                </a:lnTo>
                                <a:lnTo>
                                  <a:pt x="1719" y="2608"/>
                                </a:lnTo>
                                <a:lnTo>
                                  <a:pt x="1451" y="2701"/>
                                </a:lnTo>
                                <a:close/>
                              </a:path>
                            </a:pathLst>
                          </a:custGeom>
                          <a:solidFill>
                            <a:srgbClr val="949292"/>
                          </a:solidFill>
                          <a:ln w="9525">
                            <a:noFill/>
                            <a:round/>
                            <a:headEnd/>
                            <a:tailEnd/>
                          </a:ln>
                        </wps:spPr>
                        <wps:bodyPr>
                          <a:prstTxWarp prst="textNoShape">
                            <a:avLst/>
                          </a:prstTxWarp>
                        </wps:bodyPr>
                      </wps:wsp>
                      <wps:wsp>
                        <wps:cNvPr id="2047755243" name="Freeform 182"/>
                        <wps:cNvSpPr>
                          <a:spLocks/>
                        </wps:cNvSpPr>
                        <wps:spPr bwMode="auto">
                          <a:xfrm>
                            <a:off x="3813059" y="773113"/>
                            <a:ext cx="1148821" cy="1909763"/>
                          </a:xfrm>
                          <a:custGeom>
                            <a:avLst/>
                            <a:gdLst/>
                            <a:ahLst/>
                            <a:cxnLst>
                              <a:cxn ang="0">
                                <a:pos x="1442" y="2683"/>
                              </a:cxn>
                              <a:cxn ang="0">
                                <a:pos x="0" y="56"/>
                              </a:cxn>
                              <a:cxn ang="0">
                                <a:pos x="290" y="0"/>
                              </a:cxn>
                              <a:cxn ang="0">
                                <a:pos x="1710" y="2589"/>
                              </a:cxn>
                              <a:cxn ang="0">
                                <a:pos x="1442" y="2683"/>
                              </a:cxn>
                            </a:cxnLst>
                            <a:rect l="0" t="0" r="r" b="b"/>
                            <a:pathLst>
                              <a:path w="1710" h="2683">
                                <a:moveTo>
                                  <a:pt x="1442" y="2683"/>
                                </a:moveTo>
                                <a:lnTo>
                                  <a:pt x="0" y="56"/>
                                </a:lnTo>
                                <a:lnTo>
                                  <a:pt x="290" y="0"/>
                                </a:lnTo>
                                <a:lnTo>
                                  <a:pt x="1710" y="2589"/>
                                </a:lnTo>
                                <a:lnTo>
                                  <a:pt x="1442" y="2683"/>
                                </a:lnTo>
                                <a:close/>
                              </a:path>
                            </a:pathLst>
                          </a:custGeom>
                          <a:solidFill>
                            <a:srgbClr val="939291"/>
                          </a:solidFill>
                          <a:ln w="9525">
                            <a:noFill/>
                            <a:round/>
                            <a:headEnd/>
                            <a:tailEnd/>
                          </a:ln>
                        </wps:spPr>
                        <wps:bodyPr>
                          <a:prstTxWarp prst="textNoShape">
                            <a:avLst/>
                          </a:prstTxWarp>
                        </wps:bodyPr>
                      </wps:wsp>
                      <wps:wsp>
                        <wps:cNvPr id="2047755244" name="Freeform 183"/>
                        <wps:cNvSpPr>
                          <a:spLocks/>
                        </wps:cNvSpPr>
                        <wps:spPr bwMode="auto">
                          <a:xfrm>
                            <a:off x="3909367" y="752475"/>
                            <a:ext cx="1141942" cy="1895475"/>
                          </a:xfrm>
                          <a:custGeom>
                            <a:avLst/>
                            <a:gdLst/>
                            <a:ahLst/>
                            <a:cxnLst>
                              <a:cxn ang="0">
                                <a:pos x="1431" y="2664"/>
                              </a:cxn>
                              <a:cxn ang="0">
                                <a:pos x="0" y="56"/>
                              </a:cxn>
                              <a:cxn ang="0">
                                <a:pos x="288" y="0"/>
                              </a:cxn>
                              <a:cxn ang="0">
                                <a:pos x="1699" y="2570"/>
                              </a:cxn>
                              <a:cxn ang="0">
                                <a:pos x="1431" y="2664"/>
                              </a:cxn>
                            </a:cxnLst>
                            <a:rect l="0" t="0" r="r" b="b"/>
                            <a:pathLst>
                              <a:path w="1699" h="2664">
                                <a:moveTo>
                                  <a:pt x="1431" y="2664"/>
                                </a:moveTo>
                                <a:lnTo>
                                  <a:pt x="0" y="56"/>
                                </a:lnTo>
                                <a:lnTo>
                                  <a:pt x="288" y="0"/>
                                </a:lnTo>
                                <a:lnTo>
                                  <a:pt x="1699" y="2570"/>
                                </a:lnTo>
                                <a:lnTo>
                                  <a:pt x="1431" y="2664"/>
                                </a:lnTo>
                                <a:close/>
                              </a:path>
                            </a:pathLst>
                          </a:custGeom>
                          <a:solidFill>
                            <a:srgbClr val="929190"/>
                          </a:solidFill>
                          <a:ln w="9525">
                            <a:noFill/>
                            <a:round/>
                            <a:headEnd/>
                            <a:tailEnd/>
                          </a:ln>
                        </wps:spPr>
                        <wps:bodyPr>
                          <a:prstTxWarp prst="textNoShape">
                            <a:avLst/>
                          </a:prstTxWarp>
                        </wps:bodyPr>
                      </wps:wsp>
                      <wps:wsp>
                        <wps:cNvPr id="2047755245" name="Freeform 184"/>
                        <wps:cNvSpPr>
                          <a:spLocks/>
                        </wps:cNvSpPr>
                        <wps:spPr bwMode="auto">
                          <a:xfrm>
                            <a:off x="4005676" y="733425"/>
                            <a:ext cx="1136783" cy="1881187"/>
                          </a:xfrm>
                          <a:custGeom>
                            <a:avLst/>
                            <a:gdLst/>
                            <a:ahLst/>
                            <a:cxnLst>
                              <a:cxn ang="0">
                                <a:pos x="1420" y="2645"/>
                              </a:cxn>
                              <a:cxn ang="0">
                                <a:pos x="0" y="56"/>
                              </a:cxn>
                              <a:cxn ang="0">
                                <a:pos x="288" y="0"/>
                              </a:cxn>
                              <a:cxn ang="0">
                                <a:pos x="1688" y="2551"/>
                              </a:cxn>
                              <a:cxn ang="0">
                                <a:pos x="1420" y="2645"/>
                              </a:cxn>
                            </a:cxnLst>
                            <a:rect l="0" t="0" r="r" b="b"/>
                            <a:pathLst>
                              <a:path w="1688" h="2645">
                                <a:moveTo>
                                  <a:pt x="1420" y="2645"/>
                                </a:moveTo>
                                <a:lnTo>
                                  <a:pt x="0" y="56"/>
                                </a:lnTo>
                                <a:lnTo>
                                  <a:pt x="288" y="0"/>
                                </a:lnTo>
                                <a:lnTo>
                                  <a:pt x="1688" y="2551"/>
                                </a:lnTo>
                                <a:lnTo>
                                  <a:pt x="1420" y="2645"/>
                                </a:lnTo>
                                <a:close/>
                              </a:path>
                            </a:pathLst>
                          </a:custGeom>
                          <a:solidFill>
                            <a:srgbClr val="919090"/>
                          </a:solidFill>
                          <a:ln w="9525">
                            <a:noFill/>
                            <a:round/>
                            <a:headEnd/>
                            <a:tailEnd/>
                          </a:ln>
                        </wps:spPr>
                        <wps:bodyPr>
                          <a:prstTxWarp prst="textNoShape">
                            <a:avLst/>
                          </a:prstTxWarp>
                        </wps:bodyPr>
                      </wps:wsp>
                      <wps:wsp>
                        <wps:cNvPr id="2047755246" name="Freeform 185"/>
                        <wps:cNvSpPr>
                          <a:spLocks/>
                        </wps:cNvSpPr>
                        <wps:spPr bwMode="auto">
                          <a:xfrm>
                            <a:off x="4103705" y="712787"/>
                            <a:ext cx="1128183" cy="1868488"/>
                          </a:xfrm>
                          <a:custGeom>
                            <a:avLst/>
                            <a:gdLst/>
                            <a:ahLst/>
                            <a:cxnLst>
                              <a:cxn ang="0">
                                <a:pos x="1411" y="2626"/>
                              </a:cxn>
                              <a:cxn ang="0">
                                <a:pos x="0" y="56"/>
                              </a:cxn>
                              <a:cxn ang="0">
                                <a:pos x="290" y="0"/>
                              </a:cxn>
                              <a:cxn ang="0">
                                <a:pos x="1681" y="2532"/>
                              </a:cxn>
                              <a:cxn ang="0">
                                <a:pos x="1411" y="2626"/>
                              </a:cxn>
                            </a:cxnLst>
                            <a:rect l="0" t="0" r="r" b="b"/>
                            <a:pathLst>
                              <a:path w="1681" h="2626">
                                <a:moveTo>
                                  <a:pt x="1411" y="2626"/>
                                </a:moveTo>
                                <a:lnTo>
                                  <a:pt x="0" y="56"/>
                                </a:lnTo>
                                <a:lnTo>
                                  <a:pt x="290" y="0"/>
                                </a:lnTo>
                                <a:lnTo>
                                  <a:pt x="1681" y="2532"/>
                                </a:lnTo>
                                <a:lnTo>
                                  <a:pt x="1411" y="2626"/>
                                </a:lnTo>
                                <a:close/>
                              </a:path>
                            </a:pathLst>
                          </a:custGeom>
                          <a:solidFill>
                            <a:srgbClr val="91908F"/>
                          </a:solidFill>
                          <a:ln w="9525">
                            <a:noFill/>
                            <a:round/>
                            <a:headEnd/>
                            <a:tailEnd/>
                          </a:ln>
                        </wps:spPr>
                        <wps:bodyPr>
                          <a:prstTxWarp prst="textNoShape">
                            <a:avLst/>
                          </a:prstTxWarp>
                        </wps:bodyPr>
                      </wps:wsp>
                      <wps:wsp>
                        <wps:cNvPr id="2047755247" name="Freeform 186"/>
                        <wps:cNvSpPr>
                          <a:spLocks/>
                        </wps:cNvSpPr>
                        <wps:spPr bwMode="auto">
                          <a:xfrm>
                            <a:off x="4200014" y="693737"/>
                            <a:ext cx="1123023" cy="1854200"/>
                          </a:xfrm>
                          <a:custGeom>
                            <a:avLst/>
                            <a:gdLst/>
                            <a:ahLst/>
                            <a:cxnLst>
                              <a:cxn ang="0">
                                <a:pos x="1400" y="2608"/>
                              </a:cxn>
                              <a:cxn ang="0">
                                <a:pos x="0" y="57"/>
                              </a:cxn>
                              <a:cxn ang="0">
                                <a:pos x="290" y="0"/>
                              </a:cxn>
                              <a:cxn ang="0">
                                <a:pos x="1670" y="2514"/>
                              </a:cxn>
                              <a:cxn ang="0">
                                <a:pos x="1400" y="2608"/>
                              </a:cxn>
                            </a:cxnLst>
                            <a:rect l="0" t="0" r="r" b="b"/>
                            <a:pathLst>
                              <a:path w="1670" h="2608">
                                <a:moveTo>
                                  <a:pt x="1400" y="2608"/>
                                </a:moveTo>
                                <a:lnTo>
                                  <a:pt x="0" y="57"/>
                                </a:lnTo>
                                <a:lnTo>
                                  <a:pt x="290" y="0"/>
                                </a:lnTo>
                                <a:lnTo>
                                  <a:pt x="1670" y="2514"/>
                                </a:lnTo>
                                <a:lnTo>
                                  <a:pt x="1400" y="2608"/>
                                </a:lnTo>
                                <a:close/>
                              </a:path>
                            </a:pathLst>
                          </a:custGeom>
                          <a:solidFill>
                            <a:srgbClr val="908F8E"/>
                          </a:solidFill>
                          <a:ln w="9525">
                            <a:noFill/>
                            <a:round/>
                            <a:headEnd/>
                            <a:tailEnd/>
                          </a:ln>
                        </wps:spPr>
                        <wps:bodyPr>
                          <a:prstTxWarp prst="textNoShape">
                            <a:avLst/>
                          </a:prstTxWarp>
                        </wps:bodyPr>
                      </wps:wsp>
                      <wps:wsp>
                        <wps:cNvPr id="2047755248" name="Freeform 187"/>
                        <wps:cNvSpPr>
                          <a:spLocks/>
                        </wps:cNvSpPr>
                        <wps:spPr bwMode="auto">
                          <a:xfrm>
                            <a:off x="4298041" y="671512"/>
                            <a:ext cx="1116145" cy="1841500"/>
                          </a:xfrm>
                          <a:custGeom>
                            <a:avLst/>
                            <a:gdLst/>
                            <a:ahLst/>
                            <a:cxnLst>
                              <a:cxn ang="0">
                                <a:pos x="1391" y="2589"/>
                              </a:cxn>
                              <a:cxn ang="0">
                                <a:pos x="0" y="57"/>
                              </a:cxn>
                              <a:cxn ang="0">
                                <a:pos x="288" y="0"/>
                              </a:cxn>
                              <a:cxn ang="0">
                                <a:pos x="1659" y="2495"/>
                              </a:cxn>
                              <a:cxn ang="0">
                                <a:pos x="1391" y="2589"/>
                              </a:cxn>
                            </a:cxnLst>
                            <a:rect l="0" t="0" r="r" b="b"/>
                            <a:pathLst>
                              <a:path w="1659" h="2589">
                                <a:moveTo>
                                  <a:pt x="1391" y="2589"/>
                                </a:moveTo>
                                <a:lnTo>
                                  <a:pt x="0" y="57"/>
                                </a:lnTo>
                                <a:lnTo>
                                  <a:pt x="288" y="0"/>
                                </a:lnTo>
                                <a:lnTo>
                                  <a:pt x="1659" y="2495"/>
                                </a:lnTo>
                                <a:lnTo>
                                  <a:pt x="1391" y="2589"/>
                                </a:lnTo>
                                <a:close/>
                              </a:path>
                            </a:pathLst>
                          </a:custGeom>
                          <a:solidFill>
                            <a:srgbClr val="8F8E8D"/>
                          </a:solidFill>
                          <a:ln w="9525">
                            <a:noFill/>
                            <a:round/>
                            <a:headEnd/>
                            <a:tailEnd/>
                          </a:ln>
                        </wps:spPr>
                        <wps:bodyPr>
                          <a:prstTxWarp prst="textNoShape">
                            <a:avLst/>
                          </a:prstTxWarp>
                        </wps:bodyPr>
                      </wps:wsp>
                      <wps:wsp>
                        <wps:cNvPr id="2047755249" name="Freeform 188"/>
                        <wps:cNvSpPr>
                          <a:spLocks/>
                        </wps:cNvSpPr>
                        <wps:spPr bwMode="auto">
                          <a:xfrm>
                            <a:off x="4396069" y="652462"/>
                            <a:ext cx="1107546" cy="1828800"/>
                          </a:xfrm>
                          <a:custGeom>
                            <a:avLst/>
                            <a:gdLst/>
                            <a:ahLst/>
                            <a:cxnLst>
                              <a:cxn ang="0">
                                <a:pos x="1380" y="2570"/>
                              </a:cxn>
                              <a:cxn ang="0">
                                <a:pos x="0" y="56"/>
                              </a:cxn>
                              <a:cxn ang="0">
                                <a:pos x="288" y="0"/>
                              </a:cxn>
                              <a:cxn ang="0">
                                <a:pos x="1648" y="2477"/>
                              </a:cxn>
                              <a:cxn ang="0">
                                <a:pos x="1380" y="2570"/>
                              </a:cxn>
                            </a:cxnLst>
                            <a:rect l="0" t="0" r="r" b="b"/>
                            <a:pathLst>
                              <a:path w="1648" h="2570">
                                <a:moveTo>
                                  <a:pt x="1380" y="2570"/>
                                </a:moveTo>
                                <a:lnTo>
                                  <a:pt x="0" y="56"/>
                                </a:lnTo>
                                <a:lnTo>
                                  <a:pt x="288" y="0"/>
                                </a:lnTo>
                                <a:lnTo>
                                  <a:pt x="1648" y="2477"/>
                                </a:lnTo>
                                <a:lnTo>
                                  <a:pt x="1380" y="2570"/>
                                </a:lnTo>
                                <a:close/>
                              </a:path>
                            </a:pathLst>
                          </a:custGeom>
                          <a:solidFill>
                            <a:srgbClr val="8E8D8D"/>
                          </a:solidFill>
                          <a:ln w="9525">
                            <a:noFill/>
                            <a:round/>
                            <a:headEnd/>
                            <a:tailEnd/>
                          </a:ln>
                        </wps:spPr>
                        <wps:bodyPr>
                          <a:prstTxWarp prst="textNoShape">
                            <a:avLst/>
                          </a:prstTxWarp>
                        </wps:bodyPr>
                      </wps:wsp>
                      <wps:wsp>
                        <wps:cNvPr id="2047755250" name="Freeform 189"/>
                        <wps:cNvSpPr>
                          <a:spLocks/>
                        </wps:cNvSpPr>
                        <wps:spPr bwMode="auto">
                          <a:xfrm>
                            <a:off x="4492377" y="633413"/>
                            <a:ext cx="1100667" cy="1814513"/>
                          </a:xfrm>
                          <a:custGeom>
                            <a:avLst/>
                            <a:gdLst/>
                            <a:ahLst/>
                            <a:cxnLst>
                              <a:cxn ang="0">
                                <a:pos x="1371" y="2551"/>
                              </a:cxn>
                              <a:cxn ang="0">
                                <a:pos x="0" y="56"/>
                              </a:cxn>
                              <a:cxn ang="0">
                                <a:pos x="290" y="0"/>
                              </a:cxn>
                              <a:cxn ang="0">
                                <a:pos x="1639" y="2459"/>
                              </a:cxn>
                              <a:cxn ang="0">
                                <a:pos x="1371" y="2551"/>
                              </a:cxn>
                            </a:cxnLst>
                            <a:rect l="0" t="0" r="r" b="b"/>
                            <a:pathLst>
                              <a:path w="1639" h="2551">
                                <a:moveTo>
                                  <a:pt x="1371" y="2551"/>
                                </a:moveTo>
                                <a:lnTo>
                                  <a:pt x="0" y="56"/>
                                </a:lnTo>
                                <a:lnTo>
                                  <a:pt x="290" y="0"/>
                                </a:lnTo>
                                <a:lnTo>
                                  <a:pt x="1639" y="2459"/>
                                </a:lnTo>
                                <a:lnTo>
                                  <a:pt x="1371" y="2551"/>
                                </a:lnTo>
                                <a:close/>
                              </a:path>
                            </a:pathLst>
                          </a:custGeom>
                          <a:solidFill>
                            <a:srgbClr val="8E8D8C"/>
                          </a:solidFill>
                          <a:ln w="9525">
                            <a:noFill/>
                            <a:round/>
                            <a:headEnd/>
                            <a:tailEnd/>
                          </a:ln>
                        </wps:spPr>
                        <wps:bodyPr>
                          <a:prstTxWarp prst="textNoShape">
                            <a:avLst/>
                          </a:prstTxWarp>
                        </wps:bodyPr>
                      </wps:wsp>
                      <wps:wsp>
                        <wps:cNvPr id="2047755251" name="Freeform 190"/>
                        <wps:cNvSpPr>
                          <a:spLocks/>
                        </wps:cNvSpPr>
                        <wps:spPr bwMode="auto">
                          <a:xfrm>
                            <a:off x="4588686" y="612775"/>
                            <a:ext cx="1095507" cy="1803400"/>
                          </a:xfrm>
                          <a:custGeom>
                            <a:avLst/>
                            <a:gdLst/>
                            <a:ahLst/>
                            <a:cxnLst>
                              <a:cxn ang="0">
                                <a:pos x="1360" y="2533"/>
                              </a:cxn>
                              <a:cxn ang="0">
                                <a:pos x="0" y="56"/>
                              </a:cxn>
                              <a:cxn ang="0">
                                <a:pos x="289" y="0"/>
                              </a:cxn>
                              <a:cxn ang="0">
                                <a:pos x="1628" y="2440"/>
                              </a:cxn>
                              <a:cxn ang="0">
                                <a:pos x="1360" y="2533"/>
                              </a:cxn>
                            </a:cxnLst>
                            <a:rect l="0" t="0" r="r" b="b"/>
                            <a:pathLst>
                              <a:path w="1628" h="2533">
                                <a:moveTo>
                                  <a:pt x="1360" y="2533"/>
                                </a:moveTo>
                                <a:lnTo>
                                  <a:pt x="0" y="56"/>
                                </a:lnTo>
                                <a:lnTo>
                                  <a:pt x="289" y="0"/>
                                </a:lnTo>
                                <a:lnTo>
                                  <a:pt x="1628" y="2440"/>
                                </a:lnTo>
                                <a:lnTo>
                                  <a:pt x="1360" y="2533"/>
                                </a:lnTo>
                                <a:close/>
                              </a:path>
                            </a:pathLst>
                          </a:custGeom>
                          <a:solidFill>
                            <a:srgbClr val="8D8C8B"/>
                          </a:solidFill>
                          <a:ln w="9525">
                            <a:noFill/>
                            <a:round/>
                            <a:headEnd/>
                            <a:tailEnd/>
                          </a:ln>
                        </wps:spPr>
                        <wps:bodyPr>
                          <a:prstTxWarp prst="textNoShape">
                            <a:avLst/>
                          </a:prstTxWarp>
                        </wps:bodyPr>
                      </wps:wsp>
                      <wps:wsp>
                        <wps:cNvPr id="2047755252" name="Freeform 191"/>
                        <wps:cNvSpPr>
                          <a:spLocks/>
                        </wps:cNvSpPr>
                        <wps:spPr bwMode="auto">
                          <a:xfrm>
                            <a:off x="4686714" y="593726"/>
                            <a:ext cx="1086908" cy="1787525"/>
                          </a:xfrm>
                          <a:custGeom>
                            <a:avLst/>
                            <a:gdLst/>
                            <a:ahLst/>
                            <a:cxnLst>
                              <a:cxn ang="0">
                                <a:pos x="1349" y="2515"/>
                              </a:cxn>
                              <a:cxn ang="0">
                                <a:pos x="0" y="56"/>
                              </a:cxn>
                              <a:cxn ang="0">
                                <a:pos x="288" y="0"/>
                              </a:cxn>
                              <a:cxn ang="0">
                                <a:pos x="1617" y="2421"/>
                              </a:cxn>
                              <a:cxn ang="0">
                                <a:pos x="1349" y="2515"/>
                              </a:cxn>
                            </a:cxnLst>
                            <a:rect l="0" t="0" r="r" b="b"/>
                            <a:pathLst>
                              <a:path w="1617" h="2515">
                                <a:moveTo>
                                  <a:pt x="1349" y="2515"/>
                                </a:moveTo>
                                <a:lnTo>
                                  <a:pt x="0" y="56"/>
                                </a:lnTo>
                                <a:lnTo>
                                  <a:pt x="288" y="0"/>
                                </a:lnTo>
                                <a:lnTo>
                                  <a:pt x="1617" y="2421"/>
                                </a:lnTo>
                                <a:lnTo>
                                  <a:pt x="1349" y="2515"/>
                                </a:lnTo>
                                <a:close/>
                              </a:path>
                            </a:pathLst>
                          </a:custGeom>
                          <a:solidFill>
                            <a:srgbClr val="8C8B8A"/>
                          </a:solidFill>
                          <a:ln w="9525">
                            <a:noFill/>
                            <a:round/>
                            <a:headEnd/>
                            <a:tailEnd/>
                          </a:ln>
                        </wps:spPr>
                        <wps:bodyPr>
                          <a:prstTxWarp prst="textNoShape">
                            <a:avLst/>
                          </a:prstTxWarp>
                        </wps:bodyPr>
                      </wps:wsp>
                      <wps:wsp>
                        <wps:cNvPr id="2047755253" name="Freeform 192"/>
                        <wps:cNvSpPr>
                          <a:spLocks/>
                        </wps:cNvSpPr>
                        <wps:spPr bwMode="auto">
                          <a:xfrm>
                            <a:off x="4879330" y="552451"/>
                            <a:ext cx="1074870" cy="1762125"/>
                          </a:xfrm>
                          <a:custGeom>
                            <a:avLst/>
                            <a:gdLst/>
                            <a:ahLst/>
                            <a:cxnLst>
                              <a:cxn ang="0">
                                <a:pos x="1329" y="2478"/>
                              </a:cxn>
                              <a:cxn ang="0">
                                <a:pos x="0" y="57"/>
                              </a:cxn>
                              <a:cxn ang="0">
                                <a:pos x="289" y="0"/>
                              </a:cxn>
                              <a:cxn ang="0">
                                <a:pos x="1597" y="2384"/>
                              </a:cxn>
                              <a:cxn ang="0">
                                <a:pos x="1329" y="2478"/>
                              </a:cxn>
                            </a:cxnLst>
                            <a:rect l="0" t="0" r="r" b="b"/>
                            <a:pathLst>
                              <a:path w="1597" h="2478">
                                <a:moveTo>
                                  <a:pt x="1329" y="2478"/>
                                </a:moveTo>
                                <a:lnTo>
                                  <a:pt x="0" y="57"/>
                                </a:lnTo>
                                <a:lnTo>
                                  <a:pt x="289" y="0"/>
                                </a:lnTo>
                                <a:lnTo>
                                  <a:pt x="1597" y="2384"/>
                                </a:lnTo>
                                <a:lnTo>
                                  <a:pt x="1329" y="2478"/>
                                </a:lnTo>
                                <a:close/>
                              </a:path>
                            </a:pathLst>
                          </a:custGeom>
                          <a:solidFill>
                            <a:srgbClr val="8B8989"/>
                          </a:solidFill>
                          <a:ln w="9525">
                            <a:noFill/>
                            <a:round/>
                            <a:headEnd/>
                            <a:tailEnd/>
                          </a:ln>
                        </wps:spPr>
                        <wps:bodyPr>
                          <a:prstTxWarp prst="textNoShape">
                            <a:avLst/>
                          </a:prstTxWarp>
                        </wps:bodyPr>
                      </wps:wsp>
                      <wps:wsp>
                        <wps:cNvPr id="2047755254" name="Freeform 193"/>
                        <wps:cNvSpPr>
                          <a:spLocks/>
                        </wps:cNvSpPr>
                        <wps:spPr bwMode="auto">
                          <a:xfrm>
                            <a:off x="4979078" y="534987"/>
                            <a:ext cx="1054233" cy="1746250"/>
                          </a:xfrm>
                          <a:custGeom>
                            <a:avLst/>
                            <a:gdLst/>
                            <a:ahLst/>
                            <a:cxnLst>
                              <a:cxn ang="0">
                                <a:pos x="1318" y="2455"/>
                              </a:cxn>
                              <a:cxn ang="0">
                                <a:pos x="0" y="53"/>
                              </a:cxn>
                              <a:cxn ang="0">
                                <a:pos x="270" y="0"/>
                              </a:cxn>
                              <a:cxn ang="0">
                                <a:pos x="1569" y="2368"/>
                              </a:cxn>
                              <a:cxn ang="0">
                                <a:pos x="1569" y="2368"/>
                              </a:cxn>
                              <a:cxn ang="0">
                                <a:pos x="1318" y="2455"/>
                              </a:cxn>
                            </a:cxnLst>
                            <a:rect l="0" t="0" r="r" b="b"/>
                            <a:pathLst>
                              <a:path w="1569" h="2455">
                                <a:moveTo>
                                  <a:pt x="1318" y="2455"/>
                                </a:moveTo>
                                <a:lnTo>
                                  <a:pt x="0" y="53"/>
                                </a:lnTo>
                                <a:lnTo>
                                  <a:pt x="270" y="0"/>
                                </a:lnTo>
                                <a:lnTo>
                                  <a:pt x="1569" y="2368"/>
                                </a:lnTo>
                                <a:lnTo>
                                  <a:pt x="1569" y="2368"/>
                                </a:lnTo>
                                <a:lnTo>
                                  <a:pt x="1318" y="2455"/>
                                </a:lnTo>
                                <a:close/>
                              </a:path>
                            </a:pathLst>
                          </a:custGeom>
                          <a:solidFill>
                            <a:srgbClr val="8A8988"/>
                          </a:solidFill>
                          <a:ln w="9525">
                            <a:noFill/>
                            <a:round/>
                            <a:headEnd/>
                            <a:tailEnd/>
                          </a:ln>
                        </wps:spPr>
                        <wps:bodyPr>
                          <a:prstTxWarp prst="textNoShape">
                            <a:avLst/>
                          </a:prstTxWarp>
                        </wps:bodyPr>
                      </wps:wsp>
                      <wps:wsp>
                        <wps:cNvPr id="2047755255" name="Freeform 194"/>
                        <wps:cNvSpPr>
                          <a:spLocks/>
                        </wps:cNvSpPr>
                        <wps:spPr bwMode="auto">
                          <a:xfrm>
                            <a:off x="5075386" y="534987"/>
                            <a:ext cx="957925" cy="1714500"/>
                          </a:xfrm>
                          <a:custGeom>
                            <a:avLst/>
                            <a:gdLst/>
                            <a:ahLst/>
                            <a:cxnLst>
                              <a:cxn ang="0">
                                <a:pos x="1308" y="2408"/>
                              </a:cxn>
                              <a:cxn ang="0">
                                <a:pos x="0" y="24"/>
                              </a:cxn>
                              <a:cxn ang="0">
                                <a:pos x="126" y="0"/>
                              </a:cxn>
                              <a:cxn ang="0">
                                <a:pos x="1425" y="2368"/>
                              </a:cxn>
                              <a:cxn ang="0">
                                <a:pos x="1425" y="2368"/>
                              </a:cxn>
                              <a:cxn ang="0">
                                <a:pos x="1308" y="2408"/>
                              </a:cxn>
                            </a:cxnLst>
                            <a:rect l="0" t="0" r="r" b="b"/>
                            <a:pathLst>
                              <a:path w="1425" h="2408">
                                <a:moveTo>
                                  <a:pt x="1308" y="2408"/>
                                </a:moveTo>
                                <a:lnTo>
                                  <a:pt x="0" y="24"/>
                                </a:lnTo>
                                <a:lnTo>
                                  <a:pt x="126" y="0"/>
                                </a:lnTo>
                                <a:lnTo>
                                  <a:pt x="1425" y="2368"/>
                                </a:lnTo>
                                <a:lnTo>
                                  <a:pt x="1425" y="2368"/>
                                </a:lnTo>
                                <a:lnTo>
                                  <a:pt x="1308" y="2408"/>
                                </a:lnTo>
                                <a:close/>
                              </a:path>
                            </a:pathLst>
                          </a:custGeom>
                          <a:solidFill>
                            <a:srgbClr val="898887"/>
                          </a:solidFill>
                          <a:ln w="9525">
                            <a:noFill/>
                            <a:round/>
                            <a:headEnd/>
                            <a:tailEnd/>
                          </a:ln>
                        </wps:spPr>
                        <wps:bodyPr>
                          <a:prstTxWarp prst="textNoShape">
                            <a:avLst/>
                          </a:prstTxWarp>
                        </wps:bodyPr>
                      </wps:wsp>
                      <wps:wsp>
                        <wps:cNvPr id="2047755256" name="Freeform 195"/>
                        <wps:cNvSpPr>
                          <a:spLocks/>
                        </wps:cNvSpPr>
                        <wps:spPr bwMode="auto">
                          <a:xfrm>
                            <a:off x="2081230" y="534987"/>
                            <a:ext cx="3952081" cy="2740025"/>
                          </a:xfrm>
                          <a:custGeom>
                            <a:avLst/>
                            <a:gdLst/>
                            <a:ahLst/>
                            <a:cxnLst>
                              <a:cxn ang="0">
                                <a:pos x="0" y="892"/>
                              </a:cxn>
                              <a:cxn ang="0">
                                <a:pos x="4580" y="0"/>
                              </a:cxn>
                              <a:cxn ang="0">
                                <a:pos x="5879" y="2368"/>
                              </a:cxn>
                              <a:cxn ang="0">
                                <a:pos x="1624" y="3851"/>
                              </a:cxn>
                              <a:cxn ang="0">
                                <a:pos x="0" y="892"/>
                              </a:cxn>
                            </a:cxnLst>
                            <a:rect l="0" t="0" r="r" b="b"/>
                            <a:pathLst>
                              <a:path w="5879" h="3851">
                                <a:moveTo>
                                  <a:pt x="0" y="892"/>
                                </a:moveTo>
                                <a:lnTo>
                                  <a:pt x="4580" y="0"/>
                                </a:lnTo>
                                <a:lnTo>
                                  <a:pt x="5879" y="2368"/>
                                </a:lnTo>
                                <a:lnTo>
                                  <a:pt x="1624" y="3851"/>
                                </a:lnTo>
                                <a:lnTo>
                                  <a:pt x="0" y="892"/>
                                </a:lnTo>
                                <a:close/>
                              </a:path>
                            </a:pathLst>
                          </a:custGeom>
                          <a:solidFill>
                            <a:schemeClr val="bg1">
                              <a:lumMod val="75000"/>
                            </a:schemeClr>
                          </a:solidFill>
                          <a:ln w="6350">
                            <a:solidFill>
                              <a:srgbClr val="1F1A17"/>
                            </a:solidFill>
                            <a:prstDash val="solid"/>
                            <a:round/>
                            <a:headEnd/>
                            <a:tailEnd/>
                          </a:ln>
                        </wps:spPr>
                        <wps:bodyPr>
                          <a:prstTxWarp prst="textNoShape">
                            <a:avLst/>
                          </a:prstTxWarp>
                        </wps:bodyPr>
                      </wps:wsp>
                      <wps:wsp>
                        <wps:cNvPr id="2047755257" name="Freeform 196"/>
                        <wps:cNvSpPr>
                          <a:spLocks/>
                        </wps:cNvSpPr>
                        <wps:spPr bwMode="auto">
                          <a:xfrm>
                            <a:off x="495581" y="501650"/>
                            <a:ext cx="2675996" cy="2773362"/>
                          </a:xfrm>
                          <a:custGeom>
                            <a:avLst/>
                            <a:gdLst/>
                            <a:ahLst/>
                            <a:cxnLst>
                              <a:cxn ang="0">
                                <a:pos x="0" y="0"/>
                              </a:cxn>
                              <a:cxn ang="0">
                                <a:pos x="2357" y="941"/>
                              </a:cxn>
                              <a:cxn ang="0">
                                <a:pos x="3981" y="3900"/>
                              </a:cxn>
                              <a:cxn ang="0">
                                <a:pos x="0" y="2294"/>
                              </a:cxn>
                              <a:cxn ang="0">
                                <a:pos x="0" y="0"/>
                              </a:cxn>
                            </a:cxnLst>
                            <a:rect l="0" t="0" r="r" b="b"/>
                            <a:pathLst>
                              <a:path w="3981" h="3900">
                                <a:moveTo>
                                  <a:pt x="0" y="0"/>
                                </a:moveTo>
                                <a:lnTo>
                                  <a:pt x="2357" y="941"/>
                                </a:lnTo>
                                <a:lnTo>
                                  <a:pt x="3981" y="3900"/>
                                </a:lnTo>
                                <a:lnTo>
                                  <a:pt x="0" y="2294"/>
                                </a:lnTo>
                                <a:lnTo>
                                  <a:pt x="0" y="0"/>
                                </a:lnTo>
                                <a:close/>
                              </a:path>
                            </a:pathLst>
                          </a:custGeom>
                          <a:solidFill>
                            <a:srgbClr val="AAA9A9"/>
                          </a:solidFill>
                          <a:ln w="9525">
                            <a:noFill/>
                            <a:round/>
                            <a:headEnd/>
                            <a:tailEnd/>
                          </a:ln>
                        </wps:spPr>
                        <wps:bodyPr>
                          <a:prstTxWarp prst="textNoShape">
                            <a:avLst/>
                          </a:prstTxWarp>
                        </wps:bodyPr>
                      </wps:wsp>
                      <wps:wsp>
                        <wps:cNvPr id="2047755258" name="Freeform 197"/>
                        <wps:cNvSpPr>
                          <a:spLocks/>
                        </wps:cNvSpPr>
                        <wps:spPr bwMode="auto">
                          <a:xfrm>
                            <a:off x="495581" y="501650"/>
                            <a:ext cx="2675996" cy="2773362"/>
                          </a:xfrm>
                          <a:custGeom>
                            <a:avLst/>
                            <a:gdLst/>
                            <a:ahLst/>
                            <a:cxnLst>
                              <a:cxn ang="0">
                                <a:pos x="0" y="0"/>
                              </a:cxn>
                              <a:cxn ang="0">
                                <a:pos x="2357" y="941"/>
                              </a:cxn>
                              <a:cxn ang="0">
                                <a:pos x="3981" y="3900"/>
                              </a:cxn>
                              <a:cxn ang="0">
                                <a:pos x="0" y="2294"/>
                              </a:cxn>
                              <a:cxn ang="0">
                                <a:pos x="0" y="0"/>
                              </a:cxn>
                            </a:cxnLst>
                            <a:rect l="0" t="0" r="r" b="b"/>
                            <a:pathLst>
                              <a:path w="3981" h="3900">
                                <a:moveTo>
                                  <a:pt x="0" y="0"/>
                                </a:moveTo>
                                <a:lnTo>
                                  <a:pt x="2357" y="941"/>
                                </a:lnTo>
                                <a:lnTo>
                                  <a:pt x="3981" y="3900"/>
                                </a:lnTo>
                                <a:lnTo>
                                  <a:pt x="0" y="2294"/>
                                </a:lnTo>
                                <a:lnTo>
                                  <a:pt x="0" y="0"/>
                                </a:lnTo>
                                <a:close/>
                              </a:path>
                            </a:pathLst>
                          </a:custGeom>
                          <a:solidFill>
                            <a:schemeClr val="bg1">
                              <a:lumMod val="75000"/>
                            </a:schemeClr>
                          </a:solidFill>
                          <a:ln w="6350">
                            <a:solidFill>
                              <a:srgbClr val="1F1A17"/>
                            </a:solidFill>
                            <a:prstDash val="solid"/>
                            <a:round/>
                            <a:headEnd/>
                            <a:tailEnd/>
                          </a:ln>
                        </wps:spPr>
                        <wps:bodyPr>
                          <a:prstTxWarp prst="textNoShape">
                            <a:avLst/>
                          </a:prstTxWarp>
                        </wps:bodyPr>
                      </wps:wsp>
                      <wpg:grpSp>
                        <wpg:cNvPr id="2047755259" name="Group 2047755259"/>
                        <wpg:cNvGrpSpPr>
                          <a:grpSpLocks/>
                        </wpg:cNvGrpSpPr>
                        <wpg:grpSpPr bwMode="auto">
                          <a:xfrm>
                            <a:off x="3544655" y="1146162"/>
                            <a:ext cx="5236760" cy="3433756"/>
                            <a:chOff x="3551652" y="1149350"/>
                            <a:chExt cx="3045" cy="2163"/>
                          </a:xfrm>
                        </wpg:grpSpPr>
                        <wps:wsp>
                          <wps:cNvPr id="2047755260" name="Freeform 199"/>
                          <wps:cNvSpPr>
                            <a:spLocks/>
                          </wps:cNvSpPr>
                          <wps:spPr bwMode="auto">
                            <a:xfrm>
                              <a:off x="3551923" y="1149659"/>
                              <a:ext cx="1645" cy="749"/>
                            </a:xfrm>
                            <a:custGeom>
                              <a:avLst/>
                              <a:gdLst/>
                              <a:ahLst/>
                              <a:cxnLst>
                                <a:cxn ang="0">
                                  <a:pos x="3897" y="1672"/>
                                </a:cxn>
                                <a:cxn ang="0">
                                  <a:pos x="0" y="75"/>
                                </a:cxn>
                                <a:cxn ang="0">
                                  <a:pos x="379" y="0"/>
                                </a:cxn>
                                <a:cxn ang="0">
                                  <a:pos x="4209" y="1570"/>
                                </a:cxn>
                                <a:cxn ang="0">
                                  <a:pos x="3897" y="1672"/>
                                </a:cxn>
                              </a:cxnLst>
                              <a:rect l="0" t="0" r="r" b="b"/>
                              <a:pathLst>
                                <a:path w="4209" h="1672">
                                  <a:moveTo>
                                    <a:pt x="3897" y="1672"/>
                                  </a:moveTo>
                                  <a:lnTo>
                                    <a:pt x="0" y="75"/>
                                  </a:lnTo>
                                  <a:lnTo>
                                    <a:pt x="379" y="0"/>
                                  </a:lnTo>
                                  <a:lnTo>
                                    <a:pt x="4209" y="1570"/>
                                  </a:lnTo>
                                  <a:lnTo>
                                    <a:pt x="3897" y="1672"/>
                                  </a:lnTo>
                                  <a:close/>
                                </a:path>
                              </a:pathLst>
                            </a:custGeom>
                            <a:solidFill>
                              <a:srgbClr val="9B9A9A"/>
                            </a:solidFill>
                            <a:ln w="9525">
                              <a:noFill/>
                              <a:round/>
                              <a:headEnd/>
                              <a:tailEnd/>
                            </a:ln>
                          </wps:spPr>
                          <wps:bodyPr>
                            <a:prstTxWarp prst="textNoShape">
                              <a:avLst/>
                            </a:prstTxWarp>
                          </wps:bodyPr>
                        </wps:wsp>
                        <wps:wsp>
                          <wps:cNvPr id="2047755261" name="Freeform 200"/>
                          <wps:cNvSpPr>
                            <a:spLocks/>
                          </wps:cNvSpPr>
                          <wps:spPr bwMode="auto">
                            <a:xfrm>
                              <a:off x="3551997" y="1149643"/>
                              <a:ext cx="1632" cy="742"/>
                            </a:xfrm>
                            <a:custGeom>
                              <a:avLst/>
                              <a:gdLst/>
                              <a:ahLst/>
                              <a:cxnLst>
                                <a:cxn ang="0">
                                  <a:pos x="3864" y="1657"/>
                                </a:cxn>
                                <a:cxn ang="0">
                                  <a:pos x="0" y="74"/>
                                </a:cxn>
                                <a:cxn ang="0">
                                  <a:pos x="378" y="0"/>
                                </a:cxn>
                                <a:cxn ang="0">
                                  <a:pos x="4175" y="1555"/>
                                </a:cxn>
                                <a:cxn ang="0">
                                  <a:pos x="3864" y="1657"/>
                                </a:cxn>
                              </a:cxnLst>
                              <a:rect l="0" t="0" r="r" b="b"/>
                              <a:pathLst>
                                <a:path w="4175" h="1657">
                                  <a:moveTo>
                                    <a:pt x="3864" y="1657"/>
                                  </a:moveTo>
                                  <a:lnTo>
                                    <a:pt x="0" y="74"/>
                                  </a:lnTo>
                                  <a:lnTo>
                                    <a:pt x="378" y="0"/>
                                  </a:lnTo>
                                  <a:lnTo>
                                    <a:pt x="4175" y="1555"/>
                                  </a:lnTo>
                                  <a:lnTo>
                                    <a:pt x="3864" y="1657"/>
                                  </a:lnTo>
                                  <a:close/>
                                </a:path>
                              </a:pathLst>
                            </a:custGeom>
                            <a:solidFill>
                              <a:srgbClr val="9B9A99"/>
                            </a:solidFill>
                            <a:ln w="9525">
                              <a:noFill/>
                              <a:round/>
                              <a:headEnd/>
                              <a:tailEnd/>
                            </a:ln>
                          </wps:spPr>
                          <wps:bodyPr>
                            <a:prstTxWarp prst="textNoShape">
                              <a:avLst/>
                            </a:prstTxWarp>
                          </wps:bodyPr>
                        </wps:wsp>
                        <wps:wsp>
                          <wps:cNvPr id="2047755262" name="Freeform 201"/>
                          <wps:cNvSpPr>
                            <a:spLocks/>
                          </wps:cNvSpPr>
                          <wps:spPr bwMode="auto">
                            <a:xfrm>
                              <a:off x="3552070" y="1149626"/>
                              <a:ext cx="1620" cy="736"/>
                            </a:xfrm>
                            <a:custGeom>
                              <a:avLst/>
                              <a:gdLst/>
                              <a:ahLst/>
                              <a:cxnLst>
                                <a:cxn ang="0">
                                  <a:pos x="3830" y="1644"/>
                                </a:cxn>
                                <a:cxn ang="0">
                                  <a:pos x="0" y="74"/>
                                </a:cxn>
                                <a:cxn ang="0">
                                  <a:pos x="378" y="0"/>
                                </a:cxn>
                                <a:cxn ang="0">
                                  <a:pos x="4143" y="1542"/>
                                </a:cxn>
                                <a:cxn ang="0">
                                  <a:pos x="3830" y="1644"/>
                                </a:cxn>
                              </a:cxnLst>
                              <a:rect l="0" t="0" r="r" b="b"/>
                              <a:pathLst>
                                <a:path w="4143" h="1644">
                                  <a:moveTo>
                                    <a:pt x="3830" y="1644"/>
                                  </a:moveTo>
                                  <a:lnTo>
                                    <a:pt x="0" y="74"/>
                                  </a:lnTo>
                                  <a:lnTo>
                                    <a:pt x="378" y="0"/>
                                  </a:lnTo>
                                  <a:lnTo>
                                    <a:pt x="4143" y="1542"/>
                                  </a:lnTo>
                                  <a:lnTo>
                                    <a:pt x="3830" y="1644"/>
                                  </a:lnTo>
                                  <a:close/>
                                </a:path>
                              </a:pathLst>
                            </a:custGeom>
                            <a:solidFill>
                              <a:srgbClr val="9A9998"/>
                            </a:solidFill>
                            <a:ln w="9525">
                              <a:noFill/>
                              <a:round/>
                              <a:headEnd/>
                              <a:tailEnd/>
                            </a:ln>
                          </wps:spPr>
                          <wps:bodyPr>
                            <a:prstTxWarp prst="textNoShape">
                              <a:avLst/>
                            </a:prstTxWarp>
                          </wps:bodyPr>
                        </wps:wsp>
                        <wps:wsp>
                          <wps:cNvPr id="2047755263" name="Freeform 202"/>
                          <wps:cNvSpPr>
                            <a:spLocks/>
                          </wps:cNvSpPr>
                          <wps:spPr bwMode="auto">
                            <a:xfrm>
                              <a:off x="3552144" y="1149610"/>
                              <a:ext cx="1607" cy="730"/>
                            </a:xfrm>
                            <a:custGeom>
                              <a:avLst/>
                              <a:gdLst/>
                              <a:ahLst/>
                              <a:cxnLst>
                                <a:cxn ang="0">
                                  <a:pos x="3797" y="1630"/>
                                </a:cxn>
                                <a:cxn ang="0">
                                  <a:pos x="0" y="75"/>
                                </a:cxn>
                                <a:cxn ang="0">
                                  <a:pos x="379" y="0"/>
                                </a:cxn>
                                <a:cxn ang="0">
                                  <a:pos x="4109" y="1528"/>
                                </a:cxn>
                                <a:cxn ang="0">
                                  <a:pos x="3797" y="1630"/>
                                </a:cxn>
                              </a:cxnLst>
                              <a:rect l="0" t="0" r="r" b="b"/>
                              <a:pathLst>
                                <a:path w="4109" h="1630">
                                  <a:moveTo>
                                    <a:pt x="3797" y="1630"/>
                                  </a:moveTo>
                                  <a:lnTo>
                                    <a:pt x="0" y="75"/>
                                  </a:lnTo>
                                  <a:lnTo>
                                    <a:pt x="379" y="0"/>
                                  </a:lnTo>
                                  <a:lnTo>
                                    <a:pt x="4109" y="1528"/>
                                  </a:lnTo>
                                  <a:lnTo>
                                    <a:pt x="3797" y="1630"/>
                                  </a:lnTo>
                                  <a:close/>
                                </a:path>
                              </a:pathLst>
                            </a:custGeom>
                            <a:solidFill>
                              <a:srgbClr val="999897"/>
                            </a:solidFill>
                            <a:ln w="9525">
                              <a:noFill/>
                              <a:round/>
                              <a:headEnd/>
                              <a:tailEnd/>
                            </a:ln>
                          </wps:spPr>
                          <wps:bodyPr>
                            <a:prstTxWarp prst="textNoShape">
                              <a:avLst/>
                            </a:prstTxWarp>
                          </wps:bodyPr>
                        </wps:wsp>
                        <wps:wsp>
                          <wps:cNvPr id="2047755264" name="Freeform 203"/>
                          <wps:cNvSpPr>
                            <a:spLocks/>
                          </wps:cNvSpPr>
                          <wps:spPr bwMode="auto">
                            <a:xfrm>
                              <a:off x="3552218" y="1149592"/>
                              <a:ext cx="1594" cy="725"/>
                            </a:xfrm>
                            <a:custGeom>
                              <a:avLst/>
                              <a:gdLst/>
                              <a:ahLst/>
                              <a:cxnLst>
                                <a:cxn ang="0">
                                  <a:pos x="3765" y="1617"/>
                                </a:cxn>
                                <a:cxn ang="0">
                                  <a:pos x="0" y="75"/>
                                </a:cxn>
                                <a:cxn ang="0">
                                  <a:pos x="379" y="0"/>
                                </a:cxn>
                                <a:cxn ang="0">
                                  <a:pos x="4076" y="1515"/>
                                </a:cxn>
                                <a:cxn ang="0">
                                  <a:pos x="3765" y="1617"/>
                                </a:cxn>
                              </a:cxnLst>
                              <a:rect l="0" t="0" r="r" b="b"/>
                              <a:pathLst>
                                <a:path w="4076" h="1617">
                                  <a:moveTo>
                                    <a:pt x="3765" y="1617"/>
                                  </a:moveTo>
                                  <a:lnTo>
                                    <a:pt x="0" y="75"/>
                                  </a:lnTo>
                                  <a:lnTo>
                                    <a:pt x="379" y="0"/>
                                  </a:lnTo>
                                  <a:lnTo>
                                    <a:pt x="4076" y="1515"/>
                                  </a:lnTo>
                                  <a:lnTo>
                                    <a:pt x="3765" y="1617"/>
                                  </a:lnTo>
                                  <a:close/>
                                </a:path>
                              </a:pathLst>
                            </a:custGeom>
                            <a:solidFill>
                              <a:srgbClr val="989797"/>
                            </a:solidFill>
                            <a:ln w="9525">
                              <a:noFill/>
                              <a:round/>
                              <a:headEnd/>
                              <a:tailEnd/>
                            </a:ln>
                          </wps:spPr>
                          <wps:bodyPr>
                            <a:prstTxWarp prst="textNoShape">
                              <a:avLst/>
                            </a:prstTxWarp>
                          </wps:bodyPr>
                        </wps:wsp>
                        <wps:wsp>
                          <wps:cNvPr id="2047755265" name="Freeform 204"/>
                          <wps:cNvSpPr>
                            <a:spLocks/>
                          </wps:cNvSpPr>
                          <wps:spPr bwMode="auto">
                            <a:xfrm>
                              <a:off x="3552292" y="1149576"/>
                              <a:ext cx="1581" cy="718"/>
                            </a:xfrm>
                            <a:custGeom>
                              <a:avLst/>
                              <a:gdLst/>
                              <a:ahLst/>
                              <a:cxnLst>
                                <a:cxn ang="0">
                                  <a:pos x="3730" y="1602"/>
                                </a:cxn>
                                <a:cxn ang="0">
                                  <a:pos x="0" y="74"/>
                                </a:cxn>
                                <a:cxn ang="0">
                                  <a:pos x="378" y="0"/>
                                </a:cxn>
                                <a:cxn ang="0">
                                  <a:pos x="4043" y="1502"/>
                                </a:cxn>
                                <a:cxn ang="0">
                                  <a:pos x="3730" y="1602"/>
                                </a:cxn>
                              </a:cxnLst>
                              <a:rect l="0" t="0" r="r" b="b"/>
                              <a:pathLst>
                                <a:path w="4043" h="1602">
                                  <a:moveTo>
                                    <a:pt x="3730" y="1602"/>
                                  </a:moveTo>
                                  <a:lnTo>
                                    <a:pt x="0" y="74"/>
                                  </a:lnTo>
                                  <a:lnTo>
                                    <a:pt x="378" y="0"/>
                                  </a:lnTo>
                                  <a:lnTo>
                                    <a:pt x="4043" y="1502"/>
                                  </a:lnTo>
                                  <a:lnTo>
                                    <a:pt x="3730" y="1602"/>
                                  </a:lnTo>
                                  <a:close/>
                                </a:path>
                              </a:pathLst>
                            </a:custGeom>
                            <a:solidFill>
                              <a:srgbClr val="979696"/>
                            </a:solidFill>
                            <a:ln w="9525">
                              <a:noFill/>
                              <a:round/>
                              <a:headEnd/>
                              <a:tailEnd/>
                            </a:ln>
                          </wps:spPr>
                          <wps:bodyPr>
                            <a:prstTxWarp prst="textNoShape">
                              <a:avLst/>
                            </a:prstTxWarp>
                          </wps:bodyPr>
                        </wps:wsp>
                        <wps:wsp>
                          <wps:cNvPr id="2047755266" name="Freeform 205"/>
                          <wps:cNvSpPr>
                            <a:spLocks/>
                          </wps:cNvSpPr>
                          <wps:spPr bwMode="auto">
                            <a:xfrm>
                              <a:off x="3552366" y="1149559"/>
                              <a:ext cx="1568" cy="712"/>
                            </a:xfrm>
                            <a:custGeom>
                              <a:avLst/>
                              <a:gdLst/>
                              <a:ahLst/>
                              <a:cxnLst>
                                <a:cxn ang="0">
                                  <a:pos x="3697" y="1589"/>
                                </a:cxn>
                                <a:cxn ang="0">
                                  <a:pos x="0" y="74"/>
                                </a:cxn>
                                <a:cxn ang="0">
                                  <a:pos x="379" y="0"/>
                                </a:cxn>
                                <a:cxn ang="0">
                                  <a:pos x="4009" y="1489"/>
                                </a:cxn>
                                <a:cxn ang="0">
                                  <a:pos x="3697" y="1589"/>
                                </a:cxn>
                              </a:cxnLst>
                              <a:rect l="0" t="0" r="r" b="b"/>
                              <a:pathLst>
                                <a:path w="4009" h="1589">
                                  <a:moveTo>
                                    <a:pt x="3697" y="1589"/>
                                  </a:moveTo>
                                  <a:lnTo>
                                    <a:pt x="0" y="74"/>
                                  </a:lnTo>
                                  <a:lnTo>
                                    <a:pt x="379" y="0"/>
                                  </a:lnTo>
                                  <a:lnTo>
                                    <a:pt x="4009" y="1489"/>
                                  </a:lnTo>
                                  <a:lnTo>
                                    <a:pt x="3697" y="1589"/>
                                  </a:lnTo>
                                  <a:close/>
                                </a:path>
                              </a:pathLst>
                            </a:custGeom>
                            <a:solidFill>
                              <a:srgbClr val="969595"/>
                            </a:solidFill>
                            <a:ln w="9525">
                              <a:noFill/>
                              <a:round/>
                              <a:headEnd/>
                              <a:tailEnd/>
                            </a:ln>
                          </wps:spPr>
                          <wps:bodyPr>
                            <a:prstTxWarp prst="textNoShape">
                              <a:avLst/>
                            </a:prstTxWarp>
                          </wps:bodyPr>
                        </wps:wsp>
                        <wps:wsp>
                          <wps:cNvPr id="2047755267" name="Freeform 206"/>
                          <wps:cNvSpPr>
                            <a:spLocks/>
                          </wps:cNvSpPr>
                          <wps:spPr bwMode="auto">
                            <a:xfrm>
                              <a:off x="3552440" y="1149543"/>
                              <a:ext cx="1555" cy="707"/>
                            </a:xfrm>
                            <a:custGeom>
                              <a:avLst/>
                              <a:gdLst/>
                              <a:ahLst/>
                              <a:cxnLst>
                                <a:cxn ang="0">
                                  <a:pos x="3665" y="1577"/>
                                </a:cxn>
                                <a:cxn ang="0">
                                  <a:pos x="0" y="75"/>
                                </a:cxn>
                                <a:cxn ang="0">
                                  <a:pos x="379" y="0"/>
                                </a:cxn>
                                <a:cxn ang="0">
                                  <a:pos x="3976" y="1475"/>
                                </a:cxn>
                                <a:cxn ang="0">
                                  <a:pos x="3665" y="1577"/>
                                </a:cxn>
                              </a:cxnLst>
                              <a:rect l="0" t="0" r="r" b="b"/>
                              <a:pathLst>
                                <a:path w="3976" h="1577">
                                  <a:moveTo>
                                    <a:pt x="3665" y="1577"/>
                                  </a:moveTo>
                                  <a:lnTo>
                                    <a:pt x="0" y="75"/>
                                  </a:lnTo>
                                  <a:lnTo>
                                    <a:pt x="379" y="0"/>
                                  </a:lnTo>
                                  <a:lnTo>
                                    <a:pt x="3976" y="1475"/>
                                  </a:lnTo>
                                  <a:lnTo>
                                    <a:pt x="3665" y="1577"/>
                                  </a:lnTo>
                                  <a:close/>
                                </a:path>
                              </a:pathLst>
                            </a:custGeom>
                            <a:solidFill>
                              <a:srgbClr val="959493"/>
                            </a:solidFill>
                            <a:ln w="9525">
                              <a:noFill/>
                              <a:round/>
                              <a:headEnd/>
                              <a:tailEnd/>
                            </a:ln>
                          </wps:spPr>
                          <wps:bodyPr>
                            <a:prstTxWarp prst="textNoShape">
                              <a:avLst/>
                            </a:prstTxWarp>
                          </wps:bodyPr>
                        </wps:wsp>
                        <wps:wsp>
                          <wps:cNvPr id="2047755268" name="Freeform 207"/>
                          <wps:cNvSpPr>
                            <a:spLocks/>
                          </wps:cNvSpPr>
                          <wps:spPr bwMode="auto">
                            <a:xfrm>
                              <a:off x="3552515" y="1149525"/>
                              <a:ext cx="1541" cy="702"/>
                            </a:xfrm>
                            <a:custGeom>
                              <a:avLst/>
                              <a:gdLst/>
                              <a:ahLst/>
                              <a:cxnLst>
                                <a:cxn ang="0">
                                  <a:pos x="3630" y="1564"/>
                                </a:cxn>
                                <a:cxn ang="0">
                                  <a:pos x="0" y="75"/>
                                </a:cxn>
                                <a:cxn ang="0">
                                  <a:pos x="378" y="0"/>
                                </a:cxn>
                                <a:cxn ang="0">
                                  <a:pos x="3943" y="1462"/>
                                </a:cxn>
                                <a:cxn ang="0">
                                  <a:pos x="3630" y="1564"/>
                                </a:cxn>
                              </a:cxnLst>
                              <a:rect l="0" t="0" r="r" b="b"/>
                              <a:pathLst>
                                <a:path w="3943" h="1564">
                                  <a:moveTo>
                                    <a:pt x="3630" y="1564"/>
                                  </a:moveTo>
                                  <a:lnTo>
                                    <a:pt x="0" y="75"/>
                                  </a:lnTo>
                                  <a:lnTo>
                                    <a:pt x="378" y="0"/>
                                  </a:lnTo>
                                  <a:lnTo>
                                    <a:pt x="3943" y="1462"/>
                                  </a:lnTo>
                                  <a:lnTo>
                                    <a:pt x="3630" y="1564"/>
                                  </a:lnTo>
                                  <a:close/>
                                </a:path>
                              </a:pathLst>
                            </a:custGeom>
                            <a:solidFill>
                              <a:srgbClr val="949393"/>
                            </a:solidFill>
                            <a:ln w="9525">
                              <a:noFill/>
                              <a:round/>
                              <a:headEnd/>
                              <a:tailEnd/>
                            </a:ln>
                          </wps:spPr>
                          <wps:bodyPr>
                            <a:prstTxWarp prst="textNoShape">
                              <a:avLst/>
                            </a:prstTxWarp>
                          </wps:bodyPr>
                        </wps:wsp>
                        <wps:wsp>
                          <wps:cNvPr id="2047755269" name="Freeform 208"/>
                          <wps:cNvSpPr>
                            <a:spLocks/>
                          </wps:cNvSpPr>
                          <wps:spPr bwMode="auto">
                            <a:xfrm>
                              <a:off x="3552589" y="1149509"/>
                              <a:ext cx="1528" cy="695"/>
                            </a:xfrm>
                            <a:custGeom>
                              <a:avLst/>
                              <a:gdLst/>
                              <a:ahLst/>
                              <a:cxnLst>
                                <a:cxn ang="0">
                                  <a:pos x="3597" y="1549"/>
                                </a:cxn>
                                <a:cxn ang="0">
                                  <a:pos x="0" y="74"/>
                                </a:cxn>
                                <a:cxn ang="0">
                                  <a:pos x="378" y="0"/>
                                </a:cxn>
                                <a:cxn ang="0">
                                  <a:pos x="3909" y="1447"/>
                                </a:cxn>
                                <a:cxn ang="0">
                                  <a:pos x="3597" y="1549"/>
                                </a:cxn>
                              </a:cxnLst>
                              <a:rect l="0" t="0" r="r" b="b"/>
                              <a:pathLst>
                                <a:path w="3909" h="1549">
                                  <a:moveTo>
                                    <a:pt x="3597" y="1549"/>
                                  </a:moveTo>
                                  <a:lnTo>
                                    <a:pt x="0" y="74"/>
                                  </a:lnTo>
                                  <a:lnTo>
                                    <a:pt x="378" y="0"/>
                                  </a:lnTo>
                                  <a:lnTo>
                                    <a:pt x="3909" y="1447"/>
                                  </a:lnTo>
                                  <a:lnTo>
                                    <a:pt x="3597" y="1549"/>
                                  </a:lnTo>
                                  <a:close/>
                                </a:path>
                              </a:pathLst>
                            </a:custGeom>
                            <a:solidFill>
                              <a:srgbClr val="949292"/>
                            </a:solidFill>
                            <a:ln w="9525">
                              <a:noFill/>
                              <a:round/>
                              <a:headEnd/>
                              <a:tailEnd/>
                            </a:ln>
                          </wps:spPr>
                          <wps:bodyPr>
                            <a:prstTxWarp prst="textNoShape">
                              <a:avLst/>
                            </a:prstTxWarp>
                          </wps:bodyPr>
                        </wps:wsp>
                        <wps:wsp>
                          <wps:cNvPr id="2047755270" name="Freeform 209"/>
                          <wps:cNvSpPr>
                            <a:spLocks/>
                          </wps:cNvSpPr>
                          <wps:spPr bwMode="auto">
                            <a:xfrm>
                              <a:off x="3552663" y="1149493"/>
                              <a:ext cx="1515" cy="688"/>
                            </a:xfrm>
                            <a:custGeom>
                              <a:avLst/>
                              <a:gdLst/>
                              <a:ahLst/>
                              <a:cxnLst>
                                <a:cxn ang="0">
                                  <a:pos x="3565" y="1535"/>
                                </a:cxn>
                                <a:cxn ang="0">
                                  <a:pos x="0" y="73"/>
                                </a:cxn>
                                <a:cxn ang="0">
                                  <a:pos x="378" y="0"/>
                                </a:cxn>
                                <a:cxn ang="0">
                                  <a:pos x="3876" y="1433"/>
                                </a:cxn>
                                <a:cxn ang="0">
                                  <a:pos x="3565" y="1535"/>
                                </a:cxn>
                              </a:cxnLst>
                              <a:rect l="0" t="0" r="r" b="b"/>
                              <a:pathLst>
                                <a:path w="3876" h="1535">
                                  <a:moveTo>
                                    <a:pt x="3565" y="1535"/>
                                  </a:moveTo>
                                  <a:lnTo>
                                    <a:pt x="0" y="73"/>
                                  </a:lnTo>
                                  <a:lnTo>
                                    <a:pt x="378" y="0"/>
                                  </a:lnTo>
                                  <a:lnTo>
                                    <a:pt x="3876" y="1433"/>
                                  </a:lnTo>
                                  <a:lnTo>
                                    <a:pt x="3565" y="1535"/>
                                  </a:lnTo>
                                  <a:close/>
                                </a:path>
                              </a:pathLst>
                            </a:custGeom>
                            <a:solidFill>
                              <a:srgbClr val="939291"/>
                            </a:solidFill>
                            <a:ln w="9525">
                              <a:noFill/>
                              <a:round/>
                              <a:headEnd/>
                              <a:tailEnd/>
                            </a:ln>
                          </wps:spPr>
                          <wps:bodyPr>
                            <a:prstTxWarp prst="textNoShape">
                              <a:avLst/>
                            </a:prstTxWarp>
                          </wps:bodyPr>
                        </wps:wsp>
                        <wps:wsp>
                          <wps:cNvPr id="2047755271" name="Freeform 210"/>
                          <wps:cNvSpPr>
                            <a:spLocks/>
                          </wps:cNvSpPr>
                          <wps:spPr bwMode="auto">
                            <a:xfrm>
                              <a:off x="3552736" y="1149475"/>
                              <a:ext cx="1503" cy="683"/>
                            </a:xfrm>
                            <a:custGeom>
                              <a:avLst/>
                              <a:gdLst/>
                              <a:ahLst/>
                              <a:cxnLst>
                                <a:cxn ang="0">
                                  <a:pos x="3531" y="1522"/>
                                </a:cxn>
                                <a:cxn ang="0">
                                  <a:pos x="0" y="75"/>
                                </a:cxn>
                                <a:cxn ang="0">
                                  <a:pos x="379" y="0"/>
                                </a:cxn>
                                <a:cxn ang="0">
                                  <a:pos x="3844" y="1420"/>
                                </a:cxn>
                                <a:cxn ang="0">
                                  <a:pos x="3531" y="1522"/>
                                </a:cxn>
                              </a:cxnLst>
                              <a:rect l="0" t="0" r="r" b="b"/>
                              <a:pathLst>
                                <a:path w="3844" h="1522">
                                  <a:moveTo>
                                    <a:pt x="3531" y="1522"/>
                                  </a:moveTo>
                                  <a:lnTo>
                                    <a:pt x="0" y="75"/>
                                  </a:lnTo>
                                  <a:lnTo>
                                    <a:pt x="379" y="0"/>
                                  </a:lnTo>
                                  <a:lnTo>
                                    <a:pt x="3844" y="1420"/>
                                  </a:lnTo>
                                  <a:lnTo>
                                    <a:pt x="3531" y="1522"/>
                                  </a:lnTo>
                                  <a:close/>
                                </a:path>
                              </a:pathLst>
                            </a:custGeom>
                            <a:solidFill>
                              <a:srgbClr val="929190"/>
                            </a:solidFill>
                            <a:ln w="9525">
                              <a:noFill/>
                              <a:round/>
                              <a:headEnd/>
                              <a:tailEnd/>
                            </a:ln>
                          </wps:spPr>
                          <wps:bodyPr>
                            <a:prstTxWarp prst="textNoShape">
                              <a:avLst/>
                            </a:prstTxWarp>
                          </wps:bodyPr>
                        </wps:wsp>
                        <wps:wsp>
                          <wps:cNvPr id="2047755272" name="Freeform 211"/>
                          <wps:cNvSpPr>
                            <a:spLocks/>
                          </wps:cNvSpPr>
                          <wps:spPr bwMode="auto">
                            <a:xfrm>
                              <a:off x="3552810" y="1149459"/>
                              <a:ext cx="1489" cy="676"/>
                            </a:xfrm>
                            <a:custGeom>
                              <a:avLst/>
                              <a:gdLst/>
                              <a:ahLst/>
                              <a:cxnLst>
                                <a:cxn ang="0">
                                  <a:pos x="3498" y="1508"/>
                                </a:cxn>
                                <a:cxn ang="0">
                                  <a:pos x="0" y="75"/>
                                </a:cxn>
                                <a:cxn ang="0">
                                  <a:pos x="380" y="0"/>
                                </a:cxn>
                                <a:cxn ang="0">
                                  <a:pos x="3810" y="1406"/>
                                </a:cxn>
                                <a:cxn ang="0">
                                  <a:pos x="3498" y="1508"/>
                                </a:cxn>
                              </a:cxnLst>
                              <a:rect l="0" t="0" r="r" b="b"/>
                              <a:pathLst>
                                <a:path w="3810" h="1508">
                                  <a:moveTo>
                                    <a:pt x="3498" y="1508"/>
                                  </a:moveTo>
                                  <a:lnTo>
                                    <a:pt x="0" y="75"/>
                                  </a:lnTo>
                                  <a:lnTo>
                                    <a:pt x="380" y="0"/>
                                  </a:lnTo>
                                  <a:lnTo>
                                    <a:pt x="3810" y="1406"/>
                                  </a:lnTo>
                                  <a:lnTo>
                                    <a:pt x="3498" y="1508"/>
                                  </a:lnTo>
                                  <a:close/>
                                </a:path>
                              </a:pathLst>
                            </a:custGeom>
                            <a:solidFill>
                              <a:srgbClr val="919090"/>
                            </a:solidFill>
                            <a:ln w="9525">
                              <a:noFill/>
                              <a:round/>
                              <a:headEnd/>
                              <a:tailEnd/>
                            </a:ln>
                          </wps:spPr>
                          <wps:bodyPr>
                            <a:prstTxWarp prst="textNoShape">
                              <a:avLst/>
                            </a:prstTxWarp>
                          </wps:bodyPr>
                        </wps:wsp>
                        <wps:wsp>
                          <wps:cNvPr id="2047755273" name="Freeform 212"/>
                          <wps:cNvSpPr>
                            <a:spLocks/>
                          </wps:cNvSpPr>
                          <wps:spPr bwMode="auto">
                            <a:xfrm>
                              <a:off x="3552884" y="1149443"/>
                              <a:ext cx="1476" cy="669"/>
                            </a:xfrm>
                            <a:custGeom>
                              <a:avLst/>
                              <a:gdLst/>
                              <a:ahLst/>
                              <a:cxnLst>
                                <a:cxn ang="0">
                                  <a:pos x="3465" y="1494"/>
                                </a:cxn>
                                <a:cxn ang="0">
                                  <a:pos x="0" y="74"/>
                                </a:cxn>
                                <a:cxn ang="0">
                                  <a:pos x="379" y="0"/>
                                </a:cxn>
                                <a:cxn ang="0">
                                  <a:pos x="3777" y="1392"/>
                                </a:cxn>
                                <a:cxn ang="0">
                                  <a:pos x="3465" y="1494"/>
                                </a:cxn>
                              </a:cxnLst>
                              <a:rect l="0" t="0" r="r" b="b"/>
                              <a:pathLst>
                                <a:path w="3777" h="1494">
                                  <a:moveTo>
                                    <a:pt x="3465" y="1494"/>
                                  </a:moveTo>
                                  <a:lnTo>
                                    <a:pt x="0" y="74"/>
                                  </a:lnTo>
                                  <a:lnTo>
                                    <a:pt x="379" y="0"/>
                                  </a:lnTo>
                                  <a:lnTo>
                                    <a:pt x="3777" y="1392"/>
                                  </a:lnTo>
                                  <a:lnTo>
                                    <a:pt x="3465" y="1494"/>
                                  </a:lnTo>
                                  <a:close/>
                                </a:path>
                              </a:pathLst>
                            </a:custGeom>
                            <a:solidFill>
                              <a:srgbClr val="91908F"/>
                            </a:solidFill>
                            <a:ln w="9525">
                              <a:noFill/>
                              <a:round/>
                              <a:headEnd/>
                              <a:tailEnd/>
                            </a:ln>
                          </wps:spPr>
                          <wps:bodyPr>
                            <a:prstTxWarp prst="textNoShape">
                              <a:avLst/>
                            </a:prstTxWarp>
                          </wps:bodyPr>
                        </wps:wsp>
                        <wps:wsp>
                          <wps:cNvPr id="2047755274" name="Freeform 213"/>
                          <wps:cNvSpPr>
                            <a:spLocks/>
                          </wps:cNvSpPr>
                          <wps:spPr bwMode="auto">
                            <a:xfrm>
                              <a:off x="3552958" y="1149426"/>
                              <a:ext cx="1463" cy="664"/>
                            </a:xfrm>
                            <a:custGeom>
                              <a:avLst/>
                              <a:gdLst/>
                              <a:ahLst/>
                              <a:cxnLst>
                                <a:cxn ang="0">
                                  <a:pos x="3430" y="1480"/>
                                </a:cxn>
                                <a:cxn ang="0">
                                  <a:pos x="0" y="74"/>
                                </a:cxn>
                                <a:cxn ang="0">
                                  <a:pos x="378" y="0"/>
                                </a:cxn>
                                <a:cxn ang="0">
                                  <a:pos x="3743" y="1378"/>
                                </a:cxn>
                                <a:cxn ang="0">
                                  <a:pos x="3430" y="1480"/>
                                </a:cxn>
                              </a:cxnLst>
                              <a:rect l="0" t="0" r="r" b="b"/>
                              <a:pathLst>
                                <a:path w="3743" h="1480">
                                  <a:moveTo>
                                    <a:pt x="3430" y="1480"/>
                                  </a:moveTo>
                                  <a:lnTo>
                                    <a:pt x="0" y="74"/>
                                  </a:lnTo>
                                  <a:lnTo>
                                    <a:pt x="378" y="0"/>
                                  </a:lnTo>
                                  <a:lnTo>
                                    <a:pt x="3743" y="1378"/>
                                  </a:lnTo>
                                  <a:lnTo>
                                    <a:pt x="3430" y="1480"/>
                                  </a:lnTo>
                                  <a:close/>
                                </a:path>
                              </a:pathLst>
                            </a:custGeom>
                            <a:solidFill>
                              <a:srgbClr val="908F8E"/>
                            </a:solidFill>
                            <a:ln w="9525">
                              <a:noFill/>
                              <a:round/>
                              <a:headEnd/>
                              <a:tailEnd/>
                            </a:ln>
                          </wps:spPr>
                          <wps:bodyPr>
                            <a:prstTxWarp prst="textNoShape">
                              <a:avLst/>
                            </a:prstTxWarp>
                          </wps:bodyPr>
                        </wps:wsp>
                        <wps:wsp>
                          <wps:cNvPr id="2047755275" name="Freeform 214"/>
                          <wps:cNvSpPr>
                            <a:spLocks/>
                          </wps:cNvSpPr>
                          <wps:spPr bwMode="auto">
                            <a:xfrm>
                              <a:off x="3553032" y="1149409"/>
                              <a:ext cx="1450" cy="658"/>
                            </a:xfrm>
                            <a:custGeom>
                              <a:avLst/>
                              <a:gdLst/>
                              <a:ahLst/>
                              <a:cxnLst>
                                <a:cxn ang="0">
                                  <a:pos x="3398" y="1467"/>
                                </a:cxn>
                                <a:cxn ang="0">
                                  <a:pos x="0" y="75"/>
                                </a:cxn>
                                <a:cxn ang="0">
                                  <a:pos x="378" y="0"/>
                                </a:cxn>
                                <a:cxn ang="0">
                                  <a:pos x="3709" y="1365"/>
                                </a:cxn>
                                <a:cxn ang="0">
                                  <a:pos x="3398" y="1467"/>
                                </a:cxn>
                              </a:cxnLst>
                              <a:rect l="0" t="0" r="r" b="b"/>
                              <a:pathLst>
                                <a:path w="3709" h="1467">
                                  <a:moveTo>
                                    <a:pt x="3398" y="1467"/>
                                  </a:moveTo>
                                  <a:lnTo>
                                    <a:pt x="0" y="75"/>
                                  </a:lnTo>
                                  <a:lnTo>
                                    <a:pt x="378" y="0"/>
                                  </a:lnTo>
                                  <a:lnTo>
                                    <a:pt x="3709" y="1365"/>
                                  </a:lnTo>
                                  <a:lnTo>
                                    <a:pt x="3398" y="1467"/>
                                  </a:lnTo>
                                  <a:close/>
                                </a:path>
                              </a:pathLst>
                            </a:custGeom>
                            <a:solidFill>
                              <a:srgbClr val="8F8E8D"/>
                            </a:solidFill>
                            <a:ln w="9525">
                              <a:noFill/>
                              <a:round/>
                              <a:headEnd/>
                              <a:tailEnd/>
                            </a:ln>
                          </wps:spPr>
                          <wps:bodyPr>
                            <a:prstTxWarp prst="textNoShape">
                              <a:avLst/>
                            </a:prstTxWarp>
                          </wps:bodyPr>
                        </wps:wsp>
                        <wps:wsp>
                          <wps:cNvPr id="2047755276" name="Freeform 215"/>
                          <wps:cNvSpPr>
                            <a:spLocks/>
                          </wps:cNvSpPr>
                          <wps:spPr bwMode="auto">
                            <a:xfrm>
                              <a:off x="3553106" y="1149392"/>
                              <a:ext cx="1437" cy="652"/>
                            </a:xfrm>
                            <a:custGeom>
                              <a:avLst/>
                              <a:gdLst/>
                              <a:ahLst/>
                              <a:cxnLst>
                                <a:cxn ang="0">
                                  <a:pos x="3365" y="1453"/>
                                </a:cxn>
                                <a:cxn ang="0">
                                  <a:pos x="0" y="75"/>
                                </a:cxn>
                                <a:cxn ang="0">
                                  <a:pos x="378" y="0"/>
                                </a:cxn>
                                <a:cxn ang="0">
                                  <a:pos x="3677" y="1353"/>
                                </a:cxn>
                                <a:cxn ang="0">
                                  <a:pos x="3365" y="1453"/>
                                </a:cxn>
                              </a:cxnLst>
                              <a:rect l="0" t="0" r="r" b="b"/>
                              <a:pathLst>
                                <a:path w="3677" h="1453">
                                  <a:moveTo>
                                    <a:pt x="3365" y="1453"/>
                                  </a:moveTo>
                                  <a:lnTo>
                                    <a:pt x="0" y="75"/>
                                  </a:lnTo>
                                  <a:lnTo>
                                    <a:pt x="378" y="0"/>
                                  </a:lnTo>
                                  <a:lnTo>
                                    <a:pt x="3677" y="1353"/>
                                  </a:lnTo>
                                  <a:lnTo>
                                    <a:pt x="3365" y="1453"/>
                                  </a:lnTo>
                                  <a:close/>
                                </a:path>
                              </a:pathLst>
                            </a:custGeom>
                            <a:solidFill>
                              <a:srgbClr val="8E8D8D"/>
                            </a:solidFill>
                            <a:ln w="9525">
                              <a:noFill/>
                              <a:round/>
                              <a:headEnd/>
                              <a:tailEnd/>
                            </a:ln>
                          </wps:spPr>
                          <wps:bodyPr>
                            <a:prstTxWarp prst="textNoShape">
                              <a:avLst/>
                            </a:prstTxWarp>
                          </wps:bodyPr>
                        </wps:wsp>
                        <wps:wsp>
                          <wps:cNvPr id="2047755277" name="Freeform 216"/>
                          <wps:cNvSpPr>
                            <a:spLocks/>
                          </wps:cNvSpPr>
                          <wps:spPr bwMode="auto">
                            <a:xfrm>
                              <a:off x="3551652" y="1149350"/>
                              <a:ext cx="3045" cy="1141"/>
                            </a:xfrm>
                            <a:custGeom>
                              <a:avLst/>
                              <a:gdLst/>
                              <a:ahLst/>
                              <a:cxnLst>
                                <a:cxn ang="0">
                                  <a:pos x="4018" y="2546"/>
                                </a:cxn>
                                <a:cxn ang="0">
                                  <a:pos x="7790" y="1318"/>
                                </a:cxn>
                                <a:cxn ang="0">
                                  <a:pos x="4576" y="0"/>
                                </a:cxn>
                                <a:cxn ang="0">
                                  <a:pos x="0" y="899"/>
                                </a:cxn>
                                <a:cxn ang="0">
                                  <a:pos x="4018" y="2546"/>
                                </a:cxn>
                              </a:cxnLst>
                              <a:rect l="0" t="0" r="r" b="b"/>
                              <a:pathLst>
                                <a:path w="7790" h="2546">
                                  <a:moveTo>
                                    <a:pt x="4018" y="2546"/>
                                  </a:moveTo>
                                  <a:lnTo>
                                    <a:pt x="7790" y="1318"/>
                                  </a:lnTo>
                                  <a:lnTo>
                                    <a:pt x="4576" y="0"/>
                                  </a:lnTo>
                                  <a:lnTo>
                                    <a:pt x="0" y="899"/>
                                  </a:lnTo>
                                  <a:lnTo>
                                    <a:pt x="4018" y="2546"/>
                                  </a:lnTo>
                                  <a:close/>
                                </a:path>
                              </a:pathLst>
                            </a:custGeom>
                            <a:solidFill>
                              <a:schemeClr val="bg1">
                                <a:lumMod val="75000"/>
                              </a:schemeClr>
                            </a:solidFill>
                            <a:ln w="6350">
                              <a:solidFill>
                                <a:srgbClr val="1F1A17"/>
                              </a:solidFill>
                              <a:prstDash val="solid"/>
                              <a:round/>
                              <a:headEnd/>
                              <a:tailEnd/>
                            </a:ln>
                          </wps:spPr>
                          <wps:bodyPr>
                            <a:prstTxWarp prst="textNoShape">
                              <a:avLst/>
                            </a:prstTxWarp>
                          </wps:bodyPr>
                        </wps:wsp>
                        <wps:wsp>
                          <wps:cNvPr id="2047755278" name="Freeform 217"/>
                          <wps:cNvSpPr>
                            <a:spLocks/>
                          </wps:cNvSpPr>
                          <wps:spPr bwMode="auto">
                            <a:xfrm>
                              <a:off x="3553311" y="1150436"/>
                              <a:ext cx="59" cy="1031"/>
                            </a:xfrm>
                            <a:custGeom>
                              <a:avLst/>
                              <a:gdLst/>
                              <a:ahLst/>
                              <a:cxnLst>
                                <a:cxn ang="0">
                                  <a:pos x="0" y="2301"/>
                                </a:cxn>
                                <a:cxn ang="0">
                                  <a:pos x="0" y="48"/>
                                </a:cxn>
                                <a:cxn ang="0">
                                  <a:pos x="151" y="0"/>
                                </a:cxn>
                                <a:cxn ang="0">
                                  <a:pos x="151" y="2234"/>
                                </a:cxn>
                                <a:cxn ang="0">
                                  <a:pos x="0" y="2301"/>
                                </a:cxn>
                              </a:cxnLst>
                              <a:rect l="0" t="0" r="r" b="b"/>
                              <a:pathLst>
                                <a:path w="151" h="2301">
                                  <a:moveTo>
                                    <a:pt x="0" y="2301"/>
                                  </a:moveTo>
                                  <a:lnTo>
                                    <a:pt x="0" y="48"/>
                                  </a:lnTo>
                                  <a:lnTo>
                                    <a:pt x="151" y="0"/>
                                  </a:lnTo>
                                  <a:lnTo>
                                    <a:pt x="151" y="2234"/>
                                  </a:lnTo>
                                  <a:lnTo>
                                    <a:pt x="0" y="2301"/>
                                  </a:lnTo>
                                  <a:close/>
                                </a:path>
                              </a:pathLst>
                            </a:custGeom>
                            <a:solidFill>
                              <a:srgbClr val="A7A7A6"/>
                            </a:solidFill>
                            <a:ln w="9525">
                              <a:noFill/>
                              <a:round/>
                              <a:headEnd/>
                              <a:tailEnd/>
                            </a:ln>
                          </wps:spPr>
                          <wps:bodyPr>
                            <a:prstTxWarp prst="textNoShape">
                              <a:avLst/>
                            </a:prstTxWarp>
                          </wps:bodyPr>
                        </wps:wsp>
                        <wps:wsp>
                          <wps:cNvPr id="2047755279" name="Freeform 218"/>
                          <wps:cNvSpPr>
                            <a:spLocks/>
                          </wps:cNvSpPr>
                          <wps:spPr bwMode="auto">
                            <a:xfrm>
                              <a:off x="3553340" y="1150424"/>
                              <a:ext cx="60" cy="1029"/>
                            </a:xfrm>
                            <a:custGeom>
                              <a:avLst/>
                              <a:gdLst/>
                              <a:ahLst/>
                              <a:cxnLst>
                                <a:cxn ang="0">
                                  <a:pos x="0" y="2293"/>
                                </a:cxn>
                                <a:cxn ang="0">
                                  <a:pos x="0" y="50"/>
                                </a:cxn>
                                <a:cxn ang="0">
                                  <a:pos x="151" y="0"/>
                                </a:cxn>
                                <a:cxn ang="0">
                                  <a:pos x="151" y="2226"/>
                                </a:cxn>
                                <a:cxn ang="0">
                                  <a:pos x="0" y="2293"/>
                                </a:cxn>
                              </a:cxnLst>
                              <a:rect l="0" t="0" r="r" b="b"/>
                              <a:pathLst>
                                <a:path w="151" h="2293">
                                  <a:moveTo>
                                    <a:pt x="0" y="2293"/>
                                  </a:moveTo>
                                  <a:lnTo>
                                    <a:pt x="0" y="50"/>
                                  </a:lnTo>
                                  <a:lnTo>
                                    <a:pt x="151" y="0"/>
                                  </a:lnTo>
                                  <a:lnTo>
                                    <a:pt x="151" y="2226"/>
                                  </a:lnTo>
                                  <a:lnTo>
                                    <a:pt x="0" y="2293"/>
                                  </a:lnTo>
                                  <a:close/>
                                </a:path>
                              </a:pathLst>
                            </a:custGeom>
                            <a:solidFill>
                              <a:srgbClr val="A7A6A5"/>
                            </a:solidFill>
                            <a:ln w="9525">
                              <a:noFill/>
                              <a:round/>
                              <a:headEnd/>
                              <a:tailEnd/>
                            </a:ln>
                          </wps:spPr>
                          <wps:bodyPr>
                            <a:prstTxWarp prst="textNoShape">
                              <a:avLst/>
                            </a:prstTxWarp>
                          </wps:bodyPr>
                        </wps:wsp>
                        <wps:wsp>
                          <wps:cNvPr id="2047755280" name="Freeform 219"/>
                          <wps:cNvSpPr>
                            <a:spLocks/>
                          </wps:cNvSpPr>
                          <wps:spPr bwMode="auto">
                            <a:xfrm>
                              <a:off x="3553370" y="1150414"/>
                              <a:ext cx="59" cy="1024"/>
                            </a:xfrm>
                            <a:custGeom>
                              <a:avLst/>
                              <a:gdLst/>
                              <a:ahLst/>
                              <a:cxnLst>
                                <a:cxn ang="0">
                                  <a:pos x="0" y="2284"/>
                                </a:cxn>
                                <a:cxn ang="0">
                                  <a:pos x="0" y="50"/>
                                </a:cxn>
                                <a:cxn ang="0">
                                  <a:pos x="151" y="0"/>
                                </a:cxn>
                                <a:cxn ang="0">
                                  <a:pos x="151" y="2217"/>
                                </a:cxn>
                                <a:cxn ang="0">
                                  <a:pos x="0" y="2284"/>
                                </a:cxn>
                              </a:cxnLst>
                              <a:rect l="0" t="0" r="r" b="b"/>
                              <a:pathLst>
                                <a:path w="151" h="2284">
                                  <a:moveTo>
                                    <a:pt x="0" y="2284"/>
                                  </a:moveTo>
                                  <a:lnTo>
                                    <a:pt x="0" y="50"/>
                                  </a:lnTo>
                                  <a:lnTo>
                                    <a:pt x="151" y="0"/>
                                  </a:lnTo>
                                  <a:lnTo>
                                    <a:pt x="151" y="2217"/>
                                  </a:lnTo>
                                  <a:lnTo>
                                    <a:pt x="0" y="2284"/>
                                  </a:lnTo>
                                  <a:close/>
                                </a:path>
                              </a:pathLst>
                            </a:custGeom>
                            <a:solidFill>
                              <a:srgbClr val="A6A5A4"/>
                            </a:solidFill>
                            <a:ln w="9525">
                              <a:noFill/>
                              <a:round/>
                              <a:headEnd/>
                              <a:tailEnd/>
                            </a:ln>
                          </wps:spPr>
                          <wps:bodyPr>
                            <a:prstTxWarp prst="textNoShape">
                              <a:avLst/>
                            </a:prstTxWarp>
                          </wps:bodyPr>
                        </wps:wsp>
                        <wps:wsp>
                          <wps:cNvPr id="2047755281" name="Freeform 220"/>
                          <wps:cNvSpPr>
                            <a:spLocks/>
                          </wps:cNvSpPr>
                          <wps:spPr bwMode="auto">
                            <a:xfrm>
                              <a:off x="3553400" y="1150403"/>
                              <a:ext cx="59" cy="1019"/>
                            </a:xfrm>
                            <a:custGeom>
                              <a:avLst/>
                              <a:gdLst/>
                              <a:ahLst/>
                              <a:cxnLst>
                                <a:cxn ang="0">
                                  <a:pos x="0" y="2274"/>
                                </a:cxn>
                                <a:cxn ang="0">
                                  <a:pos x="0" y="48"/>
                                </a:cxn>
                                <a:cxn ang="0">
                                  <a:pos x="150" y="0"/>
                                </a:cxn>
                                <a:cxn ang="0">
                                  <a:pos x="150" y="2207"/>
                                </a:cxn>
                                <a:cxn ang="0">
                                  <a:pos x="0" y="2274"/>
                                </a:cxn>
                              </a:cxnLst>
                              <a:rect l="0" t="0" r="r" b="b"/>
                              <a:pathLst>
                                <a:path w="150" h="2274">
                                  <a:moveTo>
                                    <a:pt x="0" y="2274"/>
                                  </a:moveTo>
                                  <a:lnTo>
                                    <a:pt x="0" y="48"/>
                                  </a:lnTo>
                                  <a:lnTo>
                                    <a:pt x="150" y="0"/>
                                  </a:lnTo>
                                  <a:lnTo>
                                    <a:pt x="150" y="2207"/>
                                  </a:lnTo>
                                  <a:lnTo>
                                    <a:pt x="0" y="2274"/>
                                  </a:lnTo>
                                  <a:close/>
                                </a:path>
                              </a:pathLst>
                            </a:custGeom>
                            <a:solidFill>
                              <a:srgbClr val="A5A4A3"/>
                            </a:solidFill>
                            <a:ln w="9525">
                              <a:noFill/>
                              <a:round/>
                              <a:headEnd/>
                              <a:tailEnd/>
                            </a:ln>
                          </wps:spPr>
                          <wps:bodyPr>
                            <a:prstTxWarp prst="textNoShape">
                              <a:avLst/>
                            </a:prstTxWarp>
                          </wps:bodyPr>
                        </wps:wsp>
                        <wps:wsp>
                          <wps:cNvPr id="2047755282" name="Freeform 221"/>
                          <wps:cNvSpPr>
                            <a:spLocks/>
                          </wps:cNvSpPr>
                          <wps:spPr bwMode="auto">
                            <a:xfrm>
                              <a:off x="3553429" y="1150392"/>
                              <a:ext cx="59" cy="1015"/>
                            </a:xfrm>
                            <a:custGeom>
                              <a:avLst/>
                              <a:gdLst/>
                              <a:ahLst/>
                              <a:cxnLst>
                                <a:cxn ang="0">
                                  <a:pos x="0" y="2266"/>
                                </a:cxn>
                                <a:cxn ang="0">
                                  <a:pos x="0" y="49"/>
                                </a:cxn>
                                <a:cxn ang="0">
                                  <a:pos x="150" y="0"/>
                                </a:cxn>
                                <a:cxn ang="0">
                                  <a:pos x="150" y="2197"/>
                                </a:cxn>
                                <a:cxn ang="0">
                                  <a:pos x="0" y="2266"/>
                                </a:cxn>
                              </a:cxnLst>
                              <a:rect l="0" t="0" r="r" b="b"/>
                              <a:pathLst>
                                <a:path w="150" h="2266">
                                  <a:moveTo>
                                    <a:pt x="0" y="2266"/>
                                  </a:moveTo>
                                  <a:lnTo>
                                    <a:pt x="0" y="49"/>
                                  </a:lnTo>
                                  <a:lnTo>
                                    <a:pt x="150" y="0"/>
                                  </a:lnTo>
                                  <a:lnTo>
                                    <a:pt x="150" y="2197"/>
                                  </a:lnTo>
                                  <a:lnTo>
                                    <a:pt x="0" y="2266"/>
                                  </a:lnTo>
                                  <a:close/>
                                </a:path>
                              </a:pathLst>
                            </a:custGeom>
                            <a:solidFill>
                              <a:srgbClr val="A4A3A3"/>
                            </a:solidFill>
                            <a:ln w="9525">
                              <a:noFill/>
                              <a:round/>
                              <a:headEnd/>
                              <a:tailEnd/>
                            </a:ln>
                          </wps:spPr>
                          <wps:bodyPr>
                            <a:prstTxWarp prst="textNoShape">
                              <a:avLst/>
                            </a:prstTxWarp>
                          </wps:bodyPr>
                        </wps:wsp>
                        <wps:wsp>
                          <wps:cNvPr id="2047755283" name="Freeform 222"/>
                          <wps:cNvSpPr>
                            <a:spLocks/>
                          </wps:cNvSpPr>
                          <wps:spPr bwMode="auto">
                            <a:xfrm>
                              <a:off x="3553459" y="1150381"/>
                              <a:ext cx="58" cy="1011"/>
                            </a:xfrm>
                            <a:custGeom>
                              <a:avLst/>
                              <a:gdLst/>
                              <a:ahLst/>
                              <a:cxnLst>
                                <a:cxn ang="0">
                                  <a:pos x="0" y="2256"/>
                                </a:cxn>
                                <a:cxn ang="0">
                                  <a:pos x="0" y="49"/>
                                </a:cxn>
                                <a:cxn ang="0">
                                  <a:pos x="152" y="0"/>
                                </a:cxn>
                                <a:cxn ang="0">
                                  <a:pos x="152" y="2188"/>
                                </a:cxn>
                                <a:cxn ang="0">
                                  <a:pos x="0" y="2256"/>
                                </a:cxn>
                              </a:cxnLst>
                              <a:rect l="0" t="0" r="r" b="b"/>
                              <a:pathLst>
                                <a:path w="152" h="2256">
                                  <a:moveTo>
                                    <a:pt x="0" y="2256"/>
                                  </a:moveTo>
                                  <a:lnTo>
                                    <a:pt x="0" y="49"/>
                                  </a:lnTo>
                                  <a:lnTo>
                                    <a:pt x="152" y="0"/>
                                  </a:lnTo>
                                  <a:lnTo>
                                    <a:pt x="152" y="2188"/>
                                  </a:lnTo>
                                  <a:lnTo>
                                    <a:pt x="0" y="2256"/>
                                  </a:lnTo>
                                  <a:close/>
                                </a:path>
                              </a:pathLst>
                            </a:custGeom>
                            <a:solidFill>
                              <a:srgbClr val="A3A2A2"/>
                            </a:solidFill>
                            <a:ln w="9525">
                              <a:noFill/>
                              <a:round/>
                              <a:headEnd/>
                              <a:tailEnd/>
                            </a:ln>
                          </wps:spPr>
                          <wps:bodyPr>
                            <a:prstTxWarp prst="textNoShape">
                              <a:avLst/>
                            </a:prstTxWarp>
                          </wps:bodyPr>
                        </wps:wsp>
                        <wpg:grpSp>
                          <wpg:cNvPr id="2047755284" name="Group 2047755284"/>
                          <wpg:cNvGrpSpPr>
                            <a:grpSpLocks/>
                          </wpg:cNvGrpSpPr>
                          <wpg:grpSpPr bwMode="auto">
                            <a:xfrm>
                              <a:off x="3551652" y="1149350"/>
                              <a:ext cx="3045" cy="2163"/>
                              <a:chOff x="3551652" y="1149350"/>
                              <a:chExt cx="3045" cy="2163"/>
                            </a:xfrm>
                          </wpg:grpSpPr>
                          <wps:wsp>
                            <wps:cNvPr id="2047755285" name="Freeform 224"/>
                            <wps:cNvSpPr>
                              <a:spLocks/>
                            </wps:cNvSpPr>
                            <wps:spPr bwMode="auto">
                              <a:xfrm>
                                <a:off x="3554372" y="1150040"/>
                                <a:ext cx="60" cy="884"/>
                              </a:xfrm>
                              <a:custGeom>
                                <a:avLst/>
                                <a:gdLst/>
                                <a:ahLst/>
                                <a:cxnLst>
                                  <a:cxn ang="0">
                                    <a:pos x="0" y="1974"/>
                                  </a:cxn>
                                  <a:cxn ang="0">
                                    <a:pos x="0" y="50"/>
                                  </a:cxn>
                                  <a:cxn ang="0">
                                    <a:pos x="152" y="0"/>
                                  </a:cxn>
                                  <a:cxn ang="0">
                                    <a:pos x="152" y="1905"/>
                                  </a:cxn>
                                  <a:cxn ang="0">
                                    <a:pos x="0" y="1974"/>
                                  </a:cxn>
                                </a:cxnLst>
                                <a:rect l="0" t="0" r="r" b="b"/>
                                <a:pathLst>
                                  <a:path w="152" h="1974">
                                    <a:moveTo>
                                      <a:pt x="0" y="1974"/>
                                    </a:moveTo>
                                    <a:lnTo>
                                      <a:pt x="0" y="50"/>
                                    </a:lnTo>
                                    <a:lnTo>
                                      <a:pt x="152" y="0"/>
                                    </a:lnTo>
                                    <a:lnTo>
                                      <a:pt x="152" y="1905"/>
                                    </a:lnTo>
                                    <a:lnTo>
                                      <a:pt x="0" y="1974"/>
                                    </a:lnTo>
                                    <a:close/>
                                  </a:path>
                                </a:pathLst>
                              </a:custGeom>
                              <a:solidFill>
                                <a:srgbClr val="8B8989"/>
                              </a:solidFill>
                              <a:ln w="9525">
                                <a:noFill/>
                                <a:round/>
                                <a:headEnd/>
                                <a:tailEnd/>
                              </a:ln>
                            </wps:spPr>
                            <wps:bodyPr>
                              <a:prstTxWarp prst="textNoShape">
                                <a:avLst/>
                              </a:prstTxWarp>
                            </wps:bodyPr>
                          </wps:wsp>
                          <wps:wsp>
                            <wps:cNvPr id="2047755286" name="Freeform 225"/>
                            <wps:cNvSpPr>
                              <a:spLocks/>
                            </wps:cNvSpPr>
                            <wps:spPr bwMode="auto">
                              <a:xfrm>
                                <a:off x="3554403" y="1150029"/>
                                <a:ext cx="58" cy="879"/>
                              </a:xfrm>
                              <a:custGeom>
                                <a:avLst/>
                                <a:gdLst/>
                                <a:ahLst/>
                                <a:cxnLst>
                                  <a:cxn ang="0">
                                    <a:pos x="0" y="1963"/>
                                  </a:cxn>
                                  <a:cxn ang="0">
                                    <a:pos x="0" y="48"/>
                                  </a:cxn>
                                  <a:cxn ang="0">
                                    <a:pos x="151" y="0"/>
                                  </a:cxn>
                                  <a:cxn ang="0">
                                    <a:pos x="151" y="1896"/>
                                  </a:cxn>
                                  <a:cxn ang="0">
                                    <a:pos x="0" y="1963"/>
                                  </a:cxn>
                                </a:cxnLst>
                                <a:rect l="0" t="0" r="r" b="b"/>
                                <a:pathLst>
                                  <a:path w="151" h="1963">
                                    <a:moveTo>
                                      <a:pt x="0" y="1963"/>
                                    </a:moveTo>
                                    <a:lnTo>
                                      <a:pt x="0" y="48"/>
                                    </a:lnTo>
                                    <a:lnTo>
                                      <a:pt x="151" y="0"/>
                                    </a:lnTo>
                                    <a:lnTo>
                                      <a:pt x="151" y="1896"/>
                                    </a:lnTo>
                                    <a:lnTo>
                                      <a:pt x="0" y="1963"/>
                                    </a:lnTo>
                                    <a:close/>
                                  </a:path>
                                </a:pathLst>
                              </a:custGeom>
                              <a:solidFill>
                                <a:srgbClr val="8A8988"/>
                              </a:solidFill>
                              <a:ln w="9525">
                                <a:noFill/>
                                <a:round/>
                                <a:headEnd/>
                                <a:tailEnd/>
                              </a:ln>
                            </wps:spPr>
                            <wps:bodyPr>
                              <a:prstTxWarp prst="textNoShape">
                                <a:avLst/>
                              </a:prstTxWarp>
                            </wps:bodyPr>
                          </wps:wsp>
                          <wps:wsp>
                            <wps:cNvPr id="2047755287" name="Freeform 226"/>
                            <wps:cNvSpPr>
                              <a:spLocks/>
                            </wps:cNvSpPr>
                            <wps:spPr bwMode="auto">
                              <a:xfrm>
                                <a:off x="3554432" y="1150017"/>
                                <a:ext cx="59" cy="876"/>
                              </a:xfrm>
                              <a:custGeom>
                                <a:avLst/>
                                <a:gdLst/>
                                <a:ahLst/>
                                <a:cxnLst>
                                  <a:cxn ang="0">
                                    <a:pos x="0" y="1955"/>
                                  </a:cxn>
                                  <a:cxn ang="0">
                                    <a:pos x="0" y="50"/>
                                  </a:cxn>
                                  <a:cxn ang="0">
                                    <a:pos x="150" y="0"/>
                                  </a:cxn>
                                  <a:cxn ang="0">
                                    <a:pos x="150" y="1888"/>
                                  </a:cxn>
                                  <a:cxn ang="0">
                                    <a:pos x="0" y="1955"/>
                                  </a:cxn>
                                </a:cxnLst>
                                <a:rect l="0" t="0" r="r" b="b"/>
                                <a:pathLst>
                                  <a:path w="150" h="1955">
                                    <a:moveTo>
                                      <a:pt x="0" y="1955"/>
                                    </a:moveTo>
                                    <a:lnTo>
                                      <a:pt x="0" y="50"/>
                                    </a:lnTo>
                                    <a:lnTo>
                                      <a:pt x="150" y="0"/>
                                    </a:lnTo>
                                    <a:lnTo>
                                      <a:pt x="150" y="1888"/>
                                    </a:lnTo>
                                    <a:lnTo>
                                      <a:pt x="0" y="1955"/>
                                    </a:lnTo>
                                    <a:close/>
                                  </a:path>
                                </a:pathLst>
                              </a:custGeom>
                              <a:solidFill>
                                <a:srgbClr val="898887"/>
                              </a:solidFill>
                              <a:ln w="9525">
                                <a:noFill/>
                                <a:round/>
                                <a:headEnd/>
                                <a:tailEnd/>
                              </a:ln>
                            </wps:spPr>
                            <wps:bodyPr>
                              <a:prstTxWarp prst="textNoShape">
                                <a:avLst/>
                              </a:prstTxWarp>
                            </wps:bodyPr>
                          </wps:wsp>
                          <wps:wsp>
                            <wps:cNvPr id="2047755288" name="Freeform 227"/>
                            <wps:cNvSpPr>
                              <a:spLocks/>
                            </wps:cNvSpPr>
                            <wps:spPr bwMode="auto">
                              <a:xfrm>
                                <a:off x="3554461" y="1150006"/>
                                <a:ext cx="59" cy="873"/>
                              </a:xfrm>
                              <a:custGeom>
                                <a:avLst/>
                                <a:gdLst/>
                                <a:ahLst/>
                                <a:cxnLst>
                                  <a:cxn ang="0">
                                    <a:pos x="0" y="1946"/>
                                  </a:cxn>
                                  <a:cxn ang="0">
                                    <a:pos x="0" y="50"/>
                                  </a:cxn>
                                  <a:cxn ang="0">
                                    <a:pos x="151" y="0"/>
                                  </a:cxn>
                                  <a:cxn ang="0">
                                    <a:pos x="151" y="1879"/>
                                  </a:cxn>
                                  <a:cxn ang="0">
                                    <a:pos x="0" y="1946"/>
                                  </a:cxn>
                                </a:cxnLst>
                                <a:rect l="0" t="0" r="r" b="b"/>
                                <a:pathLst>
                                  <a:path w="151" h="1946">
                                    <a:moveTo>
                                      <a:pt x="0" y="1946"/>
                                    </a:moveTo>
                                    <a:lnTo>
                                      <a:pt x="0" y="50"/>
                                    </a:lnTo>
                                    <a:lnTo>
                                      <a:pt x="151" y="0"/>
                                    </a:lnTo>
                                    <a:lnTo>
                                      <a:pt x="151" y="1879"/>
                                    </a:lnTo>
                                    <a:lnTo>
                                      <a:pt x="0" y="1946"/>
                                    </a:lnTo>
                                    <a:close/>
                                  </a:path>
                                </a:pathLst>
                              </a:custGeom>
                              <a:solidFill>
                                <a:srgbClr val="888787"/>
                              </a:solidFill>
                              <a:ln w="9525">
                                <a:noFill/>
                                <a:round/>
                                <a:headEnd/>
                                <a:tailEnd/>
                              </a:ln>
                            </wps:spPr>
                            <wps:bodyPr>
                              <a:prstTxWarp prst="textNoShape">
                                <a:avLst/>
                              </a:prstTxWarp>
                            </wps:bodyPr>
                          </wps:wsp>
                          <wps:wsp>
                            <wps:cNvPr id="2047755289" name="Freeform 228"/>
                            <wps:cNvSpPr>
                              <a:spLocks/>
                            </wps:cNvSpPr>
                            <wps:spPr bwMode="auto">
                              <a:xfrm>
                                <a:off x="3554491" y="1149996"/>
                                <a:ext cx="58" cy="868"/>
                              </a:xfrm>
                              <a:custGeom>
                                <a:avLst/>
                                <a:gdLst/>
                                <a:ahLst/>
                                <a:cxnLst>
                                  <a:cxn ang="0">
                                    <a:pos x="0" y="1936"/>
                                  </a:cxn>
                                  <a:cxn ang="0">
                                    <a:pos x="0" y="48"/>
                                  </a:cxn>
                                  <a:cxn ang="0">
                                    <a:pos x="151" y="0"/>
                                  </a:cxn>
                                  <a:cxn ang="0">
                                    <a:pos x="151" y="1869"/>
                                  </a:cxn>
                                  <a:cxn ang="0">
                                    <a:pos x="0" y="1936"/>
                                  </a:cxn>
                                </a:cxnLst>
                                <a:rect l="0" t="0" r="r" b="b"/>
                                <a:pathLst>
                                  <a:path w="151" h="1936">
                                    <a:moveTo>
                                      <a:pt x="0" y="1936"/>
                                    </a:moveTo>
                                    <a:lnTo>
                                      <a:pt x="0" y="48"/>
                                    </a:lnTo>
                                    <a:lnTo>
                                      <a:pt x="151" y="0"/>
                                    </a:lnTo>
                                    <a:lnTo>
                                      <a:pt x="151" y="1869"/>
                                    </a:lnTo>
                                    <a:lnTo>
                                      <a:pt x="0" y="1936"/>
                                    </a:lnTo>
                                    <a:close/>
                                  </a:path>
                                </a:pathLst>
                              </a:custGeom>
                              <a:solidFill>
                                <a:srgbClr val="888786"/>
                              </a:solidFill>
                              <a:ln w="9525">
                                <a:noFill/>
                                <a:round/>
                                <a:headEnd/>
                                <a:tailEnd/>
                              </a:ln>
                            </wps:spPr>
                            <wps:bodyPr>
                              <a:prstTxWarp prst="textNoShape">
                                <a:avLst/>
                              </a:prstTxWarp>
                            </wps:bodyPr>
                          </wps:wsp>
                          <wps:wsp>
                            <wps:cNvPr id="2047755290" name="Freeform 229"/>
                            <wps:cNvSpPr>
                              <a:spLocks/>
                            </wps:cNvSpPr>
                            <wps:spPr bwMode="auto">
                              <a:xfrm>
                                <a:off x="3554520" y="1149985"/>
                                <a:ext cx="59" cy="864"/>
                              </a:xfrm>
                              <a:custGeom>
                                <a:avLst/>
                                <a:gdLst/>
                                <a:ahLst/>
                                <a:cxnLst>
                                  <a:cxn ang="0">
                                    <a:pos x="0" y="1928"/>
                                  </a:cxn>
                                  <a:cxn ang="0">
                                    <a:pos x="0" y="49"/>
                                  </a:cxn>
                                  <a:cxn ang="0">
                                    <a:pos x="150" y="0"/>
                                  </a:cxn>
                                  <a:cxn ang="0">
                                    <a:pos x="150" y="1861"/>
                                  </a:cxn>
                                  <a:cxn ang="0">
                                    <a:pos x="0" y="1928"/>
                                  </a:cxn>
                                </a:cxnLst>
                                <a:rect l="0" t="0" r="r" b="b"/>
                                <a:pathLst>
                                  <a:path w="150" h="1928">
                                    <a:moveTo>
                                      <a:pt x="0" y="1928"/>
                                    </a:moveTo>
                                    <a:lnTo>
                                      <a:pt x="0" y="49"/>
                                    </a:lnTo>
                                    <a:lnTo>
                                      <a:pt x="150" y="0"/>
                                    </a:lnTo>
                                    <a:lnTo>
                                      <a:pt x="150" y="1861"/>
                                    </a:lnTo>
                                    <a:lnTo>
                                      <a:pt x="0" y="1928"/>
                                    </a:lnTo>
                                    <a:close/>
                                  </a:path>
                                </a:pathLst>
                              </a:custGeom>
                              <a:solidFill>
                                <a:srgbClr val="878685"/>
                              </a:solidFill>
                              <a:ln w="9525">
                                <a:noFill/>
                                <a:round/>
                                <a:headEnd/>
                                <a:tailEnd/>
                              </a:ln>
                            </wps:spPr>
                            <wps:bodyPr>
                              <a:prstTxWarp prst="textNoShape">
                                <a:avLst/>
                              </a:prstTxWarp>
                            </wps:bodyPr>
                          </wps:wsp>
                          <wps:wsp>
                            <wps:cNvPr id="2047755291" name="Freeform 230"/>
                            <wps:cNvSpPr>
                              <a:spLocks/>
                            </wps:cNvSpPr>
                            <wps:spPr bwMode="auto">
                              <a:xfrm>
                                <a:off x="3554549" y="1149974"/>
                                <a:ext cx="59" cy="859"/>
                              </a:xfrm>
                              <a:custGeom>
                                <a:avLst/>
                                <a:gdLst/>
                                <a:ahLst/>
                                <a:cxnLst>
                                  <a:cxn ang="0">
                                    <a:pos x="0" y="1918"/>
                                  </a:cxn>
                                  <a:cxn ang="0">
                                    <a:pos x="0" y="49"/>
                                  </a:cxn>
                                  <a:cxn ang="0">
                                    <a:pos x="150" y="0"/>
                                  </a:cxn>
                                  <a:cxn ang="0">
                                    <a:pos x="150" y="1851"/>
                                  </a:cxn>
                                  <a:cxn ang="0">
                                    <a:pos x="0" y="1918"/>
                                  </a:cxn>
                                </a:cxnLst>
                                <a:rect l="0" t="0" r="r" b="b"/>
                                <a:pathLst>
                                  <a:path w="150" h="1918">
                                    <a:moveTo>
                                      <a:pt x="0" y="1918"/>
                                    </a:moveTo>
                                    <a:lnTo>
                                      <a:pt x="0" y="49"/>
                                    </a:lnTo>
                                    <a:lnTo>
                                      <a:pt x="150" y="0"/>
                                    </a:lnTo>
                                    <a:lnTo>
                                      <a:pt x="150" y="1851"/>
                                    </a:lnTo>
                                    <a:lnTo>
                                      <a:pt x="0" y="1918"/>
                                    </a:lnTo>
                                    <a:close/>
                                  </a:path>
                                </a:pathLst>
                              </a:custGeom>
                              <a:solidFill>
                                <a:srgbClr val="868585"/>
                              </a:solidFill>
                              <a:ln w="9525">
                                <a:noFill/>
                                <a:round/>
                                <a:headEnd/>
                                <a:tailEnd/>
                              </a:ln>
                            </wps:spPr>
                            <wps:bodyPr>
                              <a:prstTxWarp prst="textNoShape">
                                <a:avLst/>
                              </a:prstTxWarp>
                            </wps:bodyPr>
                          </wps:wsp>
                          <wps:wsp>
                            <wps:cNvPr id="2047755292" name="Freeform 231"/>
                            <wps:cNvSpPr>
                              <a:spLocks/>
                            </wps:cNvSpPr>
                            <wps:spPr bwMode="auto">
                              <a:xfrm>
                                <a:off x="3554579" y="1149963"/>
                                <a:ext cx="59" cy="855"/>
                              </a:xfrm>
                              <a:custGeom>
                                <a:avLst/>
                                <a:gdLst/>
                                <a:ahLst/>
                                <a:cxnLst>
                                  <a:cxn ang="0">
                                    <a:pos x="0" y="1910"/>
                                  </a:cxn>
                                  <a:cxn ang="0">
                                    <a:pos x="0" y="49"/>
                                  </a:cxn>
                                  <a:cxn ang="0">
                                    <a:pos x="152" y="0"/>
                                  </a:cxn>
                                  <a:cxn ang="0">
                                    <a:pos x="152" y="1841"/>
                                  </a:cxn>
                                  <a:cxn ang="0">
                                    <a:pos x="0" y="1910"/>
                                  </a:cxn>
                                </a:cxnLst>
                                <a:rect l="0" t="0" r="r" b="b"/>
                                <a:pathLst>
                                  <a:path w="152" h="1910">
                                    <a:moveTo>
                                      <a:pt x="0" y="1910"/>
                                    </a:moveTo>
                                    <a:lnTo>
                                      <a:pt x="0" y="49"/>
                                    </a:lnTo>
                                    <a:lnTo>
                                      <a:pt x="152" y="0"/>
                                    </a:lnTo>
                                    <a:lnTo>
                                      <a:pt x="152" y="1841"/>
                                    </a:lnTo>
                                    <a:lnTo>
                                      <a:pt x="0" y="1910"/>
                                    </a:lnTo>
                                    <a:close/>
                                  </a:path>
                                </a:pathLst>
                              </a:custGeom>
                              <a:solidFill>
                                <a:srgbClr val="868484"/>
                              </a:solidFill>
                              <a:ln w="9525">
                                <a:noFill/>
                                <a:round/>
                                <a:headEnd/>
                                <a:tailEnd/>
                              </a:ln>
                            </wps:spPr>
                            <wps:bodyPr>
                              <a:prstTxWarp prst="textNoShape">
                                <a:avLst/>
                              </a:prstTxWarp>
                            </wps:bodyPr>
                          </wps:wsp>
                          <wps:wsp>
                            <wps:cNvPr id="2047755293" name="Freeform 232"/>
                            <wps:cNvSpPr>
                              <a:spLocks/>
                            </wps:cNvSpPr>
                            <wps:spPr bwMode="auto">
                              <a:xfrm>
                                <a:off x="3554608" y="1149951"/>
                                <a:ext cx="60" cy="852"/>
                              </a:xfrm>
                              <a:custGeom>
                                <a:avLst/>
                                <a:gdLst/>
                                <a:ahLst/>
                                <a:cxnLst>
                                  <a:cxn ang="0">
                                    <a:pos x="0" y="1901"/>
                                  </a:cxn>
                                  <a:cxn ang="0">
                                    <a:pos x="0" y="50"/>
                                  </a:cxn>
                                  <a:cxn ang="0">
                                    <a:pos x="152" y="0"/>
                                  </a:cxn>
                                  <a:cxn ang="0">
                                    <a:pos x="152" y="1833"/>
                                  </a:cxn>
                                  <a:cxn ang="0">
                                    <a:pos x="0" y="1901"/>
                                  </a:cxn>
                                </a:cxnLst>
                                <a:rect l="0" t="0" r="r" b="b"/>
                                <a:pathLst>
                                  <a:path w="152" h="1901">
                                    <a:moveTo>
                                      <a:pt x="0" y="1901"/>
                                    </a:moveTo>
                                    <a:lnTo>
                                      <a:pt x="0" y="50"/>
                                    </a:lnTo>
                                    <a:lnTo>
                                      <a:pt x="152" y="0"/>
                                    </a:lnTo>
                                    <a:lnTo>
                                      <a:pt x="152" y="1833"/>
                                    </a:lnTo>
                                    <a:lnTo>
                                      <a:pt x="0" y="1901"/>
                                    </a:lnTo>
                                    <a:close/>
                                  </a:path>
                                </a:pathLst>
                              </a:custGeom>
                              <a:solidFill>
                                <a:srgbClr val="858483"/>
                              </a:solidFill>
                              <a:ln w="9525">
                                <a:noFill/>
                                <a:round/>
                                <a:headEnd/>
                                <a:tailEnd/>
                              </a:ln>
                            </wps:spPr>
                            <wps:bodyPr>
                              <a:prstTxWarp prst="textNoShape">
                                <a:avLst/>
                              </a:prstTxWarp>
                            </wps:bodyPr>
                          </wps:wsp>
                          <wps:wsp>
                            <wps:cNvPr id="2047755294" name="Freeform 233"/>
                            <wps:cNvSpPr>
                              <a:spLocks/>
                            </wps:cNvSpPr>
                            <wps:spPr bwMode="auto">
                              <a:xfrm>
                                <a:off x="3554638" y="1149940"/>
                                <a:ext cx="59" cy="847"/>
                              </a:xfrm>
                              <a:custGeom>
                                <a:avLst/>
                                <a:gdLst/>
                                <a:ahLst/>
                                <a:cxnLst>
                                  <a:cxn ang="0">
                                    <a:pos x="0" y="1890"/>
                                  </a:cxn>
                                  <a:cxn ang="0">
                                    <a:pos x="0" y="49"/>
                                  </a:cxn>
                                  <a:cxn ang="0">
                                    <a:pos x="150" y="0"/>
                                  </a:cxn>
                                  <a:cxn ang="0">
                                    <a:pos x="150" y="1823"/>
                                  </a:cxn>
                                  <a:cxn ang="0">
                                    <a:pos x="0" y="1890"/>
                                  </a:cxn>
                                </a:cxnLst>
                                <a:rect l="0" t="0" r="r" b="b"/>
                                <a:pathLst>
                                  <a:path w="150" h="1890">
                                    <a:moveTo>
                                      <a:pt x="0" y="1890"/>
                                    </a:moveTo>
                                    <a:lnTo>
                                      <a:pt x="0" y="49"/>
                                    </a:lnTo>
                                    <a:lnTo>
                                      <a:pt x="150" y="0"/>
                                    </a:lnTo>
                                    <a:lnTo>
                                      <a:pt x="150" y="1823"/>
                                    </a:lnTo>
                                    <a:lnTo>
                                      <a:pt x="0" y="1890"/>
                                    </a:lnTo>
                                    <a:close/>
                                  </a:path>
                                </a:pathLst>
                              </a:custGeom>
                              <a:solidFill>
                                <a:srgbClr val="848382"/>
                              </a:solidFill>
                              <a:ln w="9525">
                                <a:noFill/>
                                <a:round/>
                                <a:headEnd/>
                                <a:tailEnd/>
                              </a:ln>
                            </wps:spPr>
                            <wps:bodyPr>
                              <a:prstTxWarp prst="textNoShape">
                                <a:avLst/>
                              </a:prstTxWarp>
                            </wps:bodyPr>
                          </wps:wsp>
                          <wps:wsp>
                            <wps:cNvPr id="2047755295" name="Freeform 234"/>
                            <wps:cNvSpPr>
                              <a:spLocks/>
                            </wps:cNvSpPr>
                            <wps:spPr bwMode="auto">
                              <a:xfrm>
                                <a:off x="3554668" y="1149940"/>
                                <a:ext cx="29" cy="832"/>
                              </a:xfrm>
                              <a:custGeom>
                                <a:avLst/>
                                <a:gdLst/>
                                <a:ahLst/>
                                <a:cxnLst>
                                  <a:cxn ang="0">
                                    <a:pos x="0" y="1857"/>
                                  </a:cxn>
                                  <a:cxn ang="0">
                                    <a:pos x="0" y="24"/>
                                  </a:cxn>
                                  <a:cxn ang="0">
                                    <a:pos x="75" y="0"/>
                                  </a:cxn>
                                  <a:cxn ang="0">
                                    <a:pos x="75" y="1823"/>
                                  </a:cxn>
                                  <a:cxn ang="0">
                                    <a:pos x="0" y="1857"/>
                                  </a:cxn>
                                </a:cxnLst>
                                <a:rect l="0" t="0" r="r" b="b"/>
                                <a:pathLst>
                                  <a:path w="75" h="1857">
                                    <a:moveTo>
                                      <a:pt x="0" y="1857"/>
                                    </a:moveTo>
                                    <a:lnTo>
                                      <a:pt x="0" y="24"/>
                                    </a:lnTo>
                                    <a:lnTo>
                                      <a:pt x="75" y="0"/>
                                    </a:lnTo>
                                    <a:lnTo>
                                      <a:pt x="75" y="1823"/>
                                    </a:lnTo>
                                    <a:lnTo>
                                      <a:pt x="0" y="1857"/>
                                    </a:lnTo>
                                    <a:close/>
                                  </a:path>
                                </a:pathLst>
                              </a:custGeom>
                              <a:solidFill>
                                <a:srgbClr val="838281"/>
                              </a:solidFill>
                              <a:ln w="9525">
                                <a:noFill/>
                                <a:round/>
                                <a:headEnd/>
                                <a:tailEnd/>
                              </a:ln>
                            </wps:spPr>
                            <wps:bodyPr>
                              <a:prstTxWarp prst="textNoShape">
                                <a:avLst/>
                              </a:prstTxWarp>
                            </wps:bodyPr>
                          </wps:wsp>
                          <wps:wsp>
                            <wps:cNvPr id="2047755296" name="Freeform 235"/>
                            <wps:cNvSpPr>
                              <a:spLocks/>
                            </wps:cNvSpPr>
                            <wps:spPr bwMode="auto">
                              <a:xfrm>
                                <a:off x="3553223" y="1149940"/>
                                <a:ext cx="1474" cy="1573"/>
                              </a:xfrm>
                              <a:custGeom>
                                <a:avLst/>
                                <a:gdLst/>
                                <a:ahLst/>
                                <a:cxnLst>
                                  <a:cxn ang="0">
                                    <a:pos x="0" y="3509"/>
                                  </a:cxn>
                                  <a:cxn ang="0">
                                    <a:pos x="3772" y="1823"/>
                                  </a:cxn>
                                  <a:cxn ang="0">
                                    <a:pos x="3772" y="0"/>
                                  </a:cxn>
                                  <a:cxn ang="0">
                                    <a:pos x="0" y="1228"/>
                                  </a:cxn>
                                  <a:cxn ang="0">
                                    <a:pos x="0" y="3509"/>
                                  </a:cxn>
                                </a:cxnLst>
                                <a:rect l="0" t="0" r="r" b="b"/>
                                <a:pathLst>
                                  <a:path w="3772" h="3509">
                                    <a:moveTo>
                                      <a:pt x="0" y="3509"/>
                                    </a:moveTo>
                                    <a:lnTo>
                                      <a:pt x="3772" y="1823"/>
                                    </a:lnTo>
                                    <a:lnTo>
                                      <a:pt x="3772" y="0"/>
                                    </a:lnTo>
                                    <a:lnTo>
                                      <a:pt x="0" y="1228"/>
                                    </a:lnTo>
                                    <a:lnTo>
                                      <a:pt x="0" y="3509"/>
                                    </a:lnTo>
                                    <a:close/>
                                  </a:path>
                                </a:pathLst>
                              </a:custGeom>
                              <a:noFill/>
                              <a:ln w="6350">
                                <a:solidFill>
                                  <a:srgbClr val="1F1A17"/>
                                </a:solidFill>
                                <a:prstDash val="solid"/>
                                <a:round/>
                                <a:headEnd/>
                                <a:tailEnd/>
                              </a:ln>
                            </wps:spPr>
                            <wps:bodyPr>
                              <a:prstTxWarp prst="textNoShape">
                                <a:avLst/>
                              </a:prstTxWarp>
                            </wps:bodyPr>
                          </wps:wsp>
                          <wps:wsp>
                            <wps:cNvPr id="2047755297" name="Freeform 236"/>
                            <wps:cNvSpPr>
                              <a:spLocks/>
                            </wps:cNvSpPr>
                            <wps:spPr bwMode="auto">
                              <a:xfrm>
                                <a:off x="3551652" y="1149725"/>
                                <a:ext cx="1671" cy="766"/>
                              </a:xfrm>
                              <a:custGeom>
                                <a:avLst/>
                                <a:gdLst/>
                                <a:ahLst/>
                                <a:cxnLst>
                                  <a:cxn ang="0">
                                    <a:pos x="313" y="0"/>
                                  </a:cxn>
                                  <a:cxn ang="0">
                                    <a:pos x="4275" y="1625"/>
                                  </a:cxn>
                                  <a:cxn ang="0">
                                    <a:pos x="4018" y="1708"/>
                                  </a:cxn>
                                  <a:cxn ang="0">
                                    <a:pos x="0" y="61"/>
                                  </a:cxn>
                                  <a:cxn ang="0">
                                    <a:pos x="313" y="0"/>
                                  </a:cxn>
                                </a:cxnLst>
                                <a:rect l="0" t="0" r="r" b="b"/>
                                <a:pathLst>
                                  <a:path w="4275" h="1708">
                                    <a:moveTo>
                                      <a:pt x="313" y="0"/>
                                    </a:moveTo>
                                    <a:lnTo>
                                      <a:pt x="4275" y="1625"/>
                                    </a:lnTo>
                                    <a:lnTo>
                                      <a:pt x="4018" y="1708"/>
                                    </a:lnTo>
                                    <a:lnTo>
                                      <a:pt x="0" y="61"/>
                                    </a:lnTo>
                                    <a:lnTo>
                                      <a:pt x="313" y="0"/>
                                    </a:lnTo>
                                    <a:close/>
                                  </a:path>
                                </a:pathLst>
                              </a:custGeom>
                              <a:solidFill>
                                <a:schemeClr val="bg1">
                                  <a:lumMod val="75000"/>
                                </a:schemeClr>
                              </a:solidFill>
                              <a:ln w="9525">
                                <a:noFill/>
                                <a:round/>
                                <a:headEnd/>
                                <a:tailEnd/>
                              </a:ln>
                            </wps:spPr>
                            <wps:bodyPr>
                              <a:prstTxWarp prst="textNoShape">
                                <a:avLst/>
                              </a:prstTxWarp>
                            </wps:bodyPr>
                          </wps:wsp>
                          <wps:wsp>
                            <wps:cNvPr id="2047755298" name="Freeform 237"/>
                            <wps:cNvSpPr>
                              <a:spLocks/>
                            </wps:cNvSpPr>
                            <wps:spPr bwMode="auto">
                              <a:xfrm>
                                <a:off x="3551701" y="1149709"/>
                                <a:ext cx="1684" cy="768"/>
                              </a:xfrm>
                              <a:custGeom>
                                <a:avLst/>
                                <a:gdLst/>
                                <a:ahLst/>
                                <a:cxnLst>
                                  <a:cxn ang="0">
                                    <a:pos x="3996" y="1712"/>
                                  </a:cxn>
                                  <a:cxn ang="0">
                                    <a:pos x="0" y="73"/>
                                  </a:cxn>
                                  <a:cxn ang="0">
                                    <a:pos x="378" y="0"/>
                                  </a:cxn>
                                  <a:cxn ang="0">
                                    <a:pos x="4308" y="1610"/>
                                  </a:cxn>
                                  <a:cxn ang="0">
                                    <a:pos x="3996" y="1712"/>
                                  </a:cxn>
                                </a:cxnLst>
                                <a:rect l="0" t="0" r="r" b="b"/>
                                <a:pathLst>
                                  <a:path w="4308" h="1712">
                                    <a:moveTo>
                                      <a:pt x="3996" y="1712"/>
                                    </a:moveTo>
                                    <a:lnTo>
                                      <a:pt x="0" y="73"/>
                                    </a:lnTo>
                                    <a:lnTo>
                                      <a:pt x="378" y="0"/>
                                    </a:lnTo>
                                    <a:lnTo>
                                      <a:pt x="4308" y="1610"/>
                                    </a:lnTo>
                                    <a:lnTo>
                                      <a:pt x="3996" y="1712"/>
                                    </a:lnTo>
                                    <a:close/>
                                  </a:path>
                                </a:pathLst>
                              </a:custGeom>
                              <a:solidFill>
                                <a:schemeClr val="bg1">
                                  <a:lumMod val="75000"/>
                                </a:schemeClr>
                              </a:solidFill>
                              <a:ln w="9525">
                                <a:noFill/>
                                <a:round/>
                                <a:headEnd/>
                                <a:tailEnd/>
                              </a:ln>
                            </wps:spPr>
                            <wps:bodyPr>
                              <a:prstTxWarp prst="textNoShape">
                                <a:avLst/>
                              </a:prstTxWarp>
                            </wps:bodyPr>
                          </wps:wsp>
                          <wps:wsp>
                            <wps:cNvPr id="2047755299" name="Freeform 238"/>
                            <wps:cNvSpPr>
                              <a:spLocks/>
                            </wps:cNvSpPr>
                            <wps:spPr bwMode="auto">
                              <a:xfrm>
                                <a:off x="3551775" y="1149693"/>
                                <a:ext cx="1671" cy="761"/>
                              </a:xfrm>
                              <a:custGeom>
                                <a:avLst/>
                                <a:gdLst/>
                                <a:ahLst/>
                                <a:cxnLst>
                                  <a:cxn ang="0">
                                    <a:pos x="3962" y="1699"/>
                                  </a:cxn>
                                  <a:cxn ang="0">
                                    <a:pos x="0" y="74"/>
                                  </a:cxn>
                                  <a:cxn ang="0">
                                    <a:pos x="378" y="0"/>
                                  </a:cxn>
                                  <a:cxn ang="0">
                                    <a:pos x="4275" y="1597"/>
                                  </a:cxn>
                                  <a:cxn ang="0">
                                    <a:pos x="3962" y="1699"/>
                                  </a:cxn>
                                </a:cxnLst>
                                <a:rect l="0" t="0" r="r" b="b"/>
                                <a:pathLst>
                                  <a:path w="4275" h="1699">
                                    <a:moveTo>
                                      <a:pt x="3962" y="1699"/>
                                    </a:moveTo>
                                    <a:lnTo>
                                      <a:pt x="0" y="74"/>
                                    </a:lnTo>
                                    <a:lnTo>
                                      <a:pt x="378" y="0"/>
                                    </a:lnTo>
                                    <a:lnTo>
                                      <a:pt x="4275" y="1597"/>
                                    </a:lnTo>
                                    <a:lnTo>
                                      <a:pt x="3962" y="1699"/>
                                    </a:lnTo>
                                    <a:close/>
                                  </a:path>
                                </a:pathLst>
                              </a:custGeom>
                              <a:solidFill>
                                <a:schemeClr val="bg1">
                                  <a:lumMod val="75000"/>
                                </a:schemeClr>
                              </a:solidFill>
                              <a:ln w="9525">
                                <a:noFill/>
                                <a:round/>
                                <a:headEnd/>
                                <a:tailEnd/>
                              </a:ln>
                            </wps:spPr>
                            <wps:bodyPr>
                              <a:prstTxWarp prst="textNoShape">
                                <a:avLst/>
                              </a:prstTxWarp>
                            </wps:bodyPr>
                          </wps:wsp>
                          <wps:wsp>
                            <wps:cNvPr id="2047755300" name="Freeform 239"/>
                            <wps:cNvSpPr>
                              <a:spLocks/>
                            </wps:cNvSpPr>
                            <wps:spPr bwMode="auto">
                              <a:xfrm>
                                <a:off x="3551849" y="1149676"/>
                                <a:ext cx="1658" cy="755"/>
                              </a:xfrm>
                              <a:custGeom>
                                <a:avLst/>
                                <a:gdLst/>
                                <a:ahLst/>
                                <a:cxnLst>
                                  <a:cxn ang="0">
                                    <a:pos x="3930" y="1685"/>
                                  </a:cxn>
                                  <a:cxn ang="0">
                                    <a:pos x="0" y="75"/>
                                  </a:cxn>
                                  <a:cxn ang="0">
                                    <a:pos x="379" y="0"/>
                                  </a:cxn>
                                  <a:cxn ang="0">
                                    <a:pos x="4243" y="1583"/>
                                  </a:cxn>
                                  <a:cxn ang="0">
                                    <a:pos x="3930" y="1685"/>
                                  </a:cxn>
                                </a:cxnLst>
                                <a:rect l="0" t="0" r="r" b="b"/>
                                <a:pathLst>
                                  <a:path w="4243" h="1685">
                                    <a:moveTo>
                                      <a:pt x="3930" y="1685"/>
                                    </a:moveTo>
                                    <a:lnTo>
                                      <a:pt x="0" y="75"/>
                                    </a:lnTo>
                                    <a:lnTo>
                                      <a:pt x="379" y="0"/>
                                    </a:lnTo>
                                    <a:lnTo>
                                      <a:pt x="4243" y="1583"/>
                                    </a:lnTo>
                                    <a:lnTo>
                                      <a:pt x="3930" y="1685"/>
                                    </a:lnTo>
                                    <a:close/>
                                  </a:path>
                                </a:pathLst>
                              </a:custGeom>
                              <a:solidFill>
                                <a:schemeClr val="bg1">
                                  <a:lumMod val="75000"/>
                                </a:schemeClr>
                              </a:solidFill>
                              <a:ln w="9525">
                                <a:noFill/>
                                <a:round/>
                                <a:headEnd/>
                                <a:tailEnd/>
                              </a:ln>
                            </wps:spPr>
                            <wps:bodyPr>
                              <a:prstTxWarp prst="textNoShape">
                                <a:avLst/>
                              </a:prstTxWarp>
                            </wps:bodyPr>
                          </wps:wsp>
                          <wps:wsp>
                            <wps:cNvPr id="2047755301" name="Freeform 240"/>
                            <wps:cNvSpPr>
                              <a:spLocks/>
                            </wps:cNvSpPr>
                            <wps:spPr bwMode="auto">
                              <a:xfrm>
                                <a:off x="3553180" y="1149376"/>
                                <a:ext cx="1424" cy="645"/>
                              </a:xfrm>
                              <a:custGeom>
                                <a:avLst/>
                                <a:gdLst/>
                                <a:ahLst/>
                                <a:cxnLst>
                                  <a:cxn ang="0">
                                    <a:pos x="3331" y="1439"/>
                                  </a:cxn>
                                  <a:cxn ang="0">
                                    <a:pos x="0" y="74"/>
                                  </a:cxn>
                                  <a:cxn ang="0">
                                    <a:pos x="378" y="0"/>
                                  </a:cxn>
                                  <a:cxn ang="0">
                                    <a:pos x="3644" y="1339"/>
                                  </a:cxn>
                                  <a:cxn ang="0">
                                    <a:pos x="3331" y="1439"/>
                                  </a:cxn>
                                </a:cxnLst>
                                <a:rect l="0" t="0" r="r" b="b"/>
                                <a:pathLst>
                                  <a:path w="3644" h="1439">
                                    <a:moveTo>
                                      <a:pt x="3331" y="1439"/>
                                    </a:moveTo>
                                    <a:lnTo>
                                      <a:pt x="0" y="74"/>
                                    </a:lnTo>
                                    <a:lnTo>
                                      <a:pt x="378" y="0"/>
                                    </a:lnTo>
                                    <a:lnTo>
                                      <a:pt x="3644" y="1339"/>
                                    </a:lnTo>
                                    <a:lnTo>
                                      <a:pt x="3331" y="1439"/>
                                    </a:lnTo>
                                    <a:close/>
                                  </a:path>
                                </a:pathLst>
                              </a:custGeom>
                              <a:solidFill>
                                <a:schemeClr val="bg1">
                                  <a:lumMod val="75000"/>
                                </a:schemeClr>
                              </a:solidFill>
                              <a:ln w="9525">
                                <a:noFill/>
                                <a:round/>
                                <a:headEnd/>
                                <a:tailEnd/>
                              </a:ln>
                            </wps:spPr>
                            <wps:bodyPr>
                              <a:prstTxWarp prst="textNoShape">
                                <a:avLst/>
                              </a:prstTxWarp>
                            </wps:bodyPr>
                          </wps:wsp>
                          <wps:wsp>
                            <wps:cNvPr id="2047755302" name="Freeform 241"/>
                            <wps:cNvSpPr>
                              <a:spLocks/>
                            </wps:cNvSpPr>
                            <wps:spPr bwMode="auto">
                              <a:xfrm>
                                <a:off x="3553254" y="1149360"/>
                                <a:ext cx="1411" cy="638"/>
                              </a:xfrm>
                              <a:custGeom>
                                <a:avLst/>
                                <a:gdLst/>
                                <a:ahLst/>
                                <a:cxnLst>
                                  <a:cxn ang="0">
                                    <a:pos x="3299" y="1427"/>
                                  </a:cxn>
                                  <a:cxn ang="0">
                                    <a:pos x="0" y="74"/>
                                  </a:cxn>
                                  <a:cxn ang="0">
                                    <a:pos x="378" y="0"/>
                                  </a:cxn>
                                  <a:cxn ang="0">
                                    <a:pos x="3610" y="1325"/>
                                  </a:cxn>
                                  <a:cxn ang="0">
                                    <a:pos x="3299" y="1427"/>
                                  </a:cxn>
                                </a:cxnLst>
                                <a:rect l="0" t="0" r="r" b="b"/>
                                <a:pathLst>
                                  <a:path w="3610" h="1427">
                                    <a:moveTo>
                                      <a:pt x="3299" y="1427"/>
                                    </a:moveTo>
                                    <a:lnTo>
                                      <a:pt x="0" y="74"/>
                                    </a:lnTo>
                                    <a:lnTo>
                                      <a:pt x="378" y="0"/>
                                    </a:lnTo>
                                    <a:lnTo>
                                      <a:pt x="3610" y="1325"/>
                                    </a:lnTo>
                                    <a:lnTo>
                                      <a:pt x="3299" y="1427"/>
                                    </a:lnTo>
                                    <a:close/>
                                  </a:path>
                                </a:pathLst>
                              </a:custGeom>
                              <a:solidFill>
                                <a:schemeClr val="bg1">
                                  <a:lumMod val="75000"/>
                                </a:schemeClr>
                              </a:solidFill>
                              <a:ln w="9525">
                                <a:noFill/>
                                <a:round/>
                                <a:headEnd/>
                                <a:tailEnd/>
                              </a:ln>
                            </wps:spPr>
                            <wps:bodyPr>
                              <a:prstTxWarp prst="textNoShape">
                                <a:avLst/>
                              </a:prstTxWarp>
                            </wps:bodyPr>
                          </wps:wsp>
                          <wps:wsp>
                            <wps:cNvPr id="2047755303" name="Freeform 242"/>
                            <wps:cNvSpPr>
                              <a:spLocks/>
                            </wps:cNvSpPr>
                            <wps:spPr bwMode="auto">
                              <a:xfrm>
                                <a:off x="3553327" y="1149350"/>
                                <a:ext cx="1370" cy="625"/>
                              </a:xfrm>
                              <a:custGeom>
                                <a:avLst/>
                                <a:gdLst/>
                                <a:ahLst/>
                                <a:cxnLst>
                                  <a:cxn ang="0">
                                    <a:pos x="3266" y="1396"/>
                                  </a:cxn>
                                  <a:cxn ang="0">
                                    <a:pos x="0" y="57"/>
                                  </a:cxn>
                                  <a:cxn ang="0">
                                    <a:pos x="289" y="0"/>
                                  </a:cxn>
                                  <a:cxn ang="0">
                                    <a:pos x="3503" y="1318"/>
                                  </a:cxn>
                                  <a:cxn ang="0">
                                    <a:pos x="3266" y="1396"/>
                                  </a:cxn>
                                </a:cxnLst>
                                <a:rect l="0" t="0" r="r" b="b"/>
                                <a:pathLst>
                                  <a:path w="3503" h="1396">
                                    <a:moveTo>
                                      <a:pt x="3266" y="1396"/>
                                    </a:moveTo>
                                    <a:lnTo>
                                      <a:pt x="0" y="57"/>
                                    </a:lnTo>
                                    <a:lnTo>
                                      <a:pt x="289" y="0"/>
                                    </a:lnTo>
                                    <a:lnTo>
                                      <a:pt x="3503" y="1318"/>
                                    </a:lnTo>
                                    <a:lnTo>
                                      <a:pt x="3266" y="1396"/>
                                    </a:lnTo>
                                    <a:close/>
                                  </a:path>
                                </a:pathLst>
                              </a:custGeom>
                              <a:solidFill>
                                <a:schemeClr val="bg1">
                                  <a:lumMod val="75000"/>
                                </a:schemeClr>
                              </a:solidFill>
                              <a:ln w="9525">
                                <a:noFill/>
                                <a:round/>
                                <a:headEnd/>
                                <a:tailEnd/>
                              </a:ln>
                            </wps:spPr>
                            <wps:bodyPr>
                              <a:prstTxWarp prst="textNoShape">
                                <a:avLst/>
                              </a:prstTxWarp>
                            </wps:bodyPr>
                          </wps:wsp>
                          <wps:wsp>
                            <wps:cNvPr id="2047755304" name="Freeform 243"/>
                            <wps:cNvSpPr>
                              <a:spLocks/>
                            </wps:cNvSpPr>
                            <wps:spPr bwMode="auto">
                              <a:xfrm>
                                <a:off x="3553401" y="1149350"/>
                                <a:ext cx="1296" cy="602"/>
                              </a:xfrm>
                              <a:custGeom>
                                <a:avLst/>
                                <a:gdLst/>
                                <a:ahLst/>
                                <a:cxnLst>
                                  <a:cxn ang="0">
                                    <a:pos x="3232" y="1345"/>
                                  </a:cxn>
                                  <a:cxn ang="0">
                                    <a:pos x="0" y="20"/>
                                  </a:cxn>
                                  <a:cxn ang="0">
                                    <a:pos x="100" y="0"/>
                                  </a:cxn>
                                  <a:cxn ang="0">
                                    <a:pos x="3314" y="1318"/>
                                  </a:cxn>
                                  <a:cxn ang="0">
                                    <a:pos x="3232" y="1345"/>
                                  </a:cxn>
                                </a:cxnLst>
                                <a:rect l="0" t="0" r="r" b="b"/>
                                <a:pathLst>
                                  <a:path w="3314" h="1345">
                                    <a:moveTo>
                                      <a:pt x="3232" y="1345"/>
                                    </a:moveTo>
                                    <a:lnTo>
                                      <a:pt x="0" y="20"/>
                                    </a:lnTo>
                                    <a:lnTo>
                                      <a:pt x="100" y="0"/>
                                    </a:lnTo>
                                    <a:lnTo>
                                      <a:pt x="3314" y="1318"/>
                                    </a:lnTo>
                                    <a:lnTo>
                                      <a:pt x="3232" y="1345"/>
                                    </a:lnTo>
                                    <a:close/>
                                  </a:path>
                                </a:pathLst>
                              </a:custGeom>
                              <a:solidFill>
                                <a:schemeClr val="bg1">
                                  <a:lumMod val="75000"/>
                                </a:schemeClr>
                              </a:solidFill>
                              <a:ln w="9525">
                                <a:noFill/>
                                <a:round/>
                                <a:headEnd/>
                                <a:tailEnd/>
                              </a:ln>
                            </wps:spPr>
                            <wps:bodyPr>
                              <a:prstTxWarp prst="textNoShape">
                                <a:avLst/>
                              </a:prstTxWarp>
                            </wps:bodyPr>
                          </wps:wsp>
                          <wps:wsp>
                            <wps:cNvPr id="2047755305" name="Freeform 244"/>
                            <wps:cNvSpPr>
                              <a:spLocks/>
                            </wps:cNvSpPr>
                            <wps:spPr bwMode="auto">
                              <a:xfrm>
                                <a:off x="3553223" y="1150481"/>
                                <a:ext cx="29" cy="1032"/>
                              </a:xfrm>
                              <a:custGeom>
                                <a:avLst/>
                                <a:gdLst/>
                                <a:ahLst/>
                                <a:cxnLst>
                                  <a:cxn ang="0">
                                    <a:pos x="0" y="2305"/>
                                  </a:cxn>
                                  <a:cxn ang="0">
                                    <a:pos x="0" y="24"/>
                                  </a:cxn>
                                  <a:cxn ang="0">
                                    <a:pos x="75" y="0"/>
                                  </a:cxn>
                                  <a:cxn ang="0">
                                    <a:pos x="75" y="2270"/>
                                  </a:cxn>
                                  <a:cxn ang="0">
                                    <a:pos x="0" y="2305"/>
                                  </a:cxn>
                                </a:cxnLst>
                                <a:rect l="0" t="0" r="r" b="b"/>
                                <a:pathLst>
                                  <a:path w="75" h="2305">
                                    <a:moveTo>
                                      <a:pt x="0" y="2305"/>
                                    </a:moveTo>
                                    <a:lnTo>
                                      <a:pt x="0" y="24"/>
                                    </a:lnTo>
                                    <a:lnTo>
                                      <a:pt x="75" y="0"/>
                                    </a:lnTo>
                                    <a:lnTo>
                                      <a:pt x="75" y="2270"/>
                                    </a:lnTo>
                                    <a:lnTo>
                                      <a:pt x="0" y="2305"/>
                                    </a:lnTo>
                                    <a:close/>
                                  </a:path>
                                </a:pathLst>
                              </a:custGeom>
                              <a:solidFill>
                                <a:srgbClr val="AAA9A9"/>
                              </a:solidFill>
                              <a:ln w="9525">
                                <a:noFill/>
                                <a:round/>
                                <a:headEnd/>
                                <a:tailEnd/>
                              </a:ln>
                            </wps:spPr>
                            <wps:bodyPr>
                              <a:prstTxWarp prst="textNoShape">
                                <a:avLst/>
                              </a:prstTxWarp>
                            </wps:bodyPr>
                          </wps:wsp>
                          <wps:wsp>
                            <wps:cNvPr id="2047755306" name="Freeform 245"/>
                            <wps:cNvSpPr>
                              <a:spLocks/>
                            </wps:cNvSpPr>
                            <wps:spPr bwMode="auto">
                              <a:xfrm>
                                <a:off x="3553223" y="1150470"/>
                                <a:ext cx="59" cy="1043"/>
                              </a:xfrm>
                              <a:custGeom>
                                <a:avLst/>
                                <a:gdLst/>
                                <a:ahLst/>
                                <a:cxnLst>
                                  <a:cxn ang="0">
                                    <a:pos x="0" y="2329"/>
                                  </a:cxn>
                                  <a:cxn ang="0">
                                    <a:pos x="0" y="48"/>
                                  </a:cxn>
                                  <a:cxn ang="0">
                                    <a:pos x="151" y="0"/>
                                  </a:cxn>
                                  <a:cxn ang="0">
                                    <a:pos x="151" y="2260"/>
                                  </a:cxn>
                                  <a:cxn ang="0">
                                    <a:pos x="0" y="2329"/>
                                  </a:cxn>
                                </a:cxnLst>
                                <a:rect l="0" t="0" r="r" b="b"/>
                                <a:pathLst>
                                  <a:path w="151" h="2329">
                                    <a:moveTo>
                                      <a:pt x="0" y="2329"/>
                                    </a:moveTo>
                                    <a:lnTo>
                                      <a:pt x="0" y="48"/>
                                    </a:lnTo>
                                    <a:lnTo>
                                      <a:pt x="151" y="0"/>
                                    </a:lnTo>
                                    <a:lnTo>
                                      <a:pt x="151" y="2260"/>
                                    </a:lnTo>
                                    <a:lnTo>
                                      <a:pt x="0" y="2329"/>
                                    </a:lnTo>
                                    <a:close/>
                                  </a:path>
                                </a:pathLst>
                              </a:custGeom>
                              <a:solidFill>
                                <a:srgbClr val="AAA9A9"/>
                              </a:solidFill>
                              <a:ln w="9525">
                                <a:noFill/>
                                <a:round/>
                                <a:headEnd/>
                                <a:tailEnd/>
                              </a:ln>
                            </wps:spPr>
                            <wps:bodyPr>
                              <a:prstTxWarp prst="textNoShape">
                                <a:avLst/>
                              </a:prstTxWarp>
                            </wps:bodyPr>
                          </wps:wsp>
                          <wps:wsp>
                            <wps:cNvPr id="2047755307" name="Freeform 246"/>
                            <wps:cNvSpPr>
                              <a:spLocks/>
                            </wps:cNvSpPr>
                            <wps:spPr bwMode="auto">
                              <a:xfrm>
                                <a:off x="3553252" y="1150458"/>
                                <a:ext cx="59" cy="1039"/>
                              </a:xfrm>
                              <a:custGeom>
                                <a:avLst/>
                                <a:gdLst/>
                                <a:ahLst/>
                                <a:cxnLst>
                                  <a:cxn ang="0">
                                    <a:pos x="0" y="2320"/>
                                  </a:cxn>
                                  <a:cxn ang="0">
                                    <a:pos x="0" y="50"/>
                                  </a:cxn>
                                  <a:cxn ang="0">
                                    <a:pos x="151" y="0"/>
                                  </a:cxn>
                                  <a:cxn ang="0">
                                    <a:pos x="151" y="2253"/>
                                  </a:cxn>
                                  <a:cxn ang="0">
                                    <a:pos x="0" y="2320"/>
                                  </a:cxn>
                                </a:cxnLst>
                                <a:rect l="0" t="0" r="r" b="b"/>
                                <a:pathLst>
                                  <a:path w="151" h="2320">
                                    <a:moveTo>
                                      <a:pt x="0" y="2320"/>
                                    </a:moveTo>
                                    <a:lnTo>
                                      <a:pt x="0" y="50"/>
                                    </a:lnTo>
                                    <a:lnTo>
                                      <a:pt x="151" y="0"/>
                                    </a:lnTo>
                                    <a:lnTo>
                                      <a:pt x="151" y="2253"/>
                                    </a:lnTo>
                                    <a:lnTo>
                                      <a:pt x="0" y="2320"/>
                                    </a:lnTo>
                                    <a:close/>
                                  </a:path>
                                </a:pathLst>
                              </a:custGeom>
                              <a:solidFill>
                                <a:srgbClr val="A9A8A8"/>
                              </a:solidFill>
                              <a:ln w="9525">
                                <a:noFill/>
                                <a:round/>
                                <a:headEnd/>
                                <a:tailEnd/>
                              </a:ln>
                            </wps:spPr>
                            <wps:bodyPr>
                              <a:prstTxWarp prst="textNoShape">
                                <a:avLst/>
                              </a:prstTxWarp>
                            </wps:bodyPr>
                          </wps:wsp>
                          <wps:wsp>
                            <wps:cNvPr id="2047755308" name="Freeform 247"/>
                            <wps:cNvSpPr>
                              <a:spLocks/>
                            </wps:cNvSpPr>
                            <wps:spPr bwMode="auto">
                              <a:xfrm>
                                <a:off x="3553282" y="1150447"/>
                                <a:ext cx="58" cy="1035"/>
                              </a:xfrm>
                              <a:custGeom>
                                <a:avLst/>
                                <a:gdLst/>
                                <a:ahLst/>
                                <a:cxnLst>
                                  <a:cxn ang="0">
                                    <a:pos x="0" y="2310"/>
                                  </a:cxn>
                                  <a:cxn ang="0">
                                    <a:pos x="0" y="50"/>
                                  </a:cxn>
                                  <a:cxn ang="0">
                                    <a:pos x="151" y="0"/>
                                  </a:cxn>
                                  <a:cxn ang="0">
                                    <a:pos x="151" y="2243"/>
                                  </a:cxn>
                                  <a:cxn ang="0">
                                    <a:pos x="0" y="2310"/>
                                  </a:cxn>
                                </a:cxnLst>
                                <a:rect l="0" t="0" r="r" b="b"/>
                                <a:pathLst>
                                  <a:path w="151" h="2310">
                                    <a:moveTo>
                                      <a:pt x="0" y="2310"/>
                                    </a:moveTo>
                                    <a:lnTo>
                                      <a:pt x="0" y="50"/>
                                    </a:lnTo>
                                    <a:lnTo>
                                      <a:pt x="151" y="0"/>
                                    </a:lnTo>
                                    <a:lnTo>
                                      <a:pt x="151" y="2243"/>
                                    </a:lnTo>
                                    <a:lnTo>
                                      <a:pt x="0" y="2310"/>
                                    </a:lnTo>
                                    <a:close/>
                                  </a:path>
                                </a:pathLst>
                              </a:custGeom>
                              <a:solidFill>
                                <a:srgbClr val="A8A8A7"/>
                              </a:solidFill>
                              <a:ln w="9525">
                                <a:noFill/>
                                <a:round/>
                                <a:headEnd/>
                                <a:tailEnd/>
                              </a:ln>
                            </wps:spPr>
                            <wps:bodyPr>
                              <a:prstTxWarp prst="textNoShape">
                                <a:avLst/>
                              </a:prstTxWarp>
                            </wps:bodyPr>
                          </wps:wsp>
                          <wps:wsp>
                            <wps:cNvPr id="2047755309" name="Freeform 248"/>
                            <wps:cNvSpPr>
                              <a:spLocks/>
                            </wps:cNvSpPr>
                            <wps:spPr bwMode="auto">
                              <a:xfrm>
                                <a:off x="3553488" y="1150371"/>
                                <a:ext cx="59" cy="1005"/>
                              </a:xfrm>
                              <a:custGeom>
                                <a:avLst/>
                                <a:gdLst/>
                                <a:ahLst/>
                                <a:cxnLst>
                                  <a:cxn ang="0">
                                    <a:pos x="0" y="2246"/>
                                  </a:cxn>
                                  <a:cxn ang="0">
                                    <a:pos x="0" y="49"/>
                                  </a:cxn>
                                  <a:cxn ang="0">
                                    <a:pos x="152" y="0"/>
                                  </a:cxn>
                                  <a:cxn ang="0">
                                    <a:pos x="152" y="2179"/>
                                  </a:cxn>
                                  <a:cxn ang="0">
                                    <a:pos x="0" y="2246"/>
                                  </a:cxn>
                                </a:cxnLst>
                                <a:rect l="0" t="0" r="r" b="b"/>
                                <a:pathLst>
                                  <a:path w="152" h="2246">
                                    <a:moveTo>
                                      <a:pt x="0" y="2246"/>
                                    </a:moveTo>
                                    <a:lnTo>
                                      <a:pt x="0" y="49"/>
                                    </a:lnTo>
                                    <a:lnTo>
                                      <a:pt x="152" y="0"/>
                                    </a:lnTo>
                                    <a:lnTo>
                                      <a:pt x="152" y="2179"/>
                                    </a:lnTo>
                                    <a:lnTo>
                                      <a:pt x="0" y="2246"/>
                                    </a:lnTo>
                                    <a:close/>
                                  </a:path>
                                </a:pathLst>
                              </a:custGeom>
                              <a:solidFill>
                                <a:srgbClr val="A2A1A1"/>
                              </a:solidFill>
                              <a:ln w="9525">
                                <a:noFill/>
                                <a:round/>
                                <a:headEnd/>
                                <a:tailEnd/>
                              </a:ln>
                            </wps:spPr>
                            <wps:bodyPr>
                              <a:prstTxWarp prst="textNoShape">
                                <a:avLst/>
                              </a:prstTxWarp>
                            </wps:bodyPr>
                          </wps:wsp>
                          <wps:wsp>
                            <wps:cNvPr id="2047755310" name="Freeform 249"/>
                            <wps:cNvSpPr>
                              <a:spLocks/>
                            </wps:cNvSpPr>
                            <wps:spPr bwMode="auto">
                              <a:xfrm>
                                <a:off x="3553517" y="1150358"/>
                                <a:ext cx="59" cy="1003"/>
                              </a:xfrm>
                              <a:custGeom>
                                <a:avLst/>
                                <a:gdLst/>
                                <a:ahLst/>
                                <a:cxnLst>
                                  <a:cxn ang="0">
                                    <a:pos x="0" y="2238"/>
                                  </a:cxn>
                                  <a:cxn ang="0">
                                    <a:pos x="0" y="50"/>
                                  </a:cxn>
                                  <a:cxn ang="0">
                                    <a:pos x="150" y="0"/>
                                  </a:cxn>
                                  <a:cxn ang="0">
                                    <a:pos x="150" y="2171"/>
                                  </a:cxn>
                                  <a:cxn ang="0">
                                    <a:pos x="0" y="2238"/>
                                  </a:cxn>
                                </a:cxnLst>
                                <a:rect l="0" t="0" r="r" b="b"/>
                                <a:pathLst>
                                  <a:path w="150" h="2238">
                                    <a:moveTo>
                                      <a:pt x="0" y="2238"/>
                                    </a:moveTo>
                                    <a:lnTo>
                                      <a:pt x="0" y="50"/>
                                    </a:lnTo>
                                    <a:lnTo>
                                      <a:pt x="150" y="0"/>
                                    </a:lnTo>
                                    <a:lnTo>
                                      <a:pt x="150" y="2171"/>
                                    </a:lnTo>
                                    <a:lnTo>
                                      <a:pt x="0" y="2238"/>
                                    </a:lnTo>
                                    <a:close/>
                                  </a:path>
                                </a:pathLst>
                              </a:custGeom>
                              <a:solidFill>
                                <a:srgbClr val="A2A1A0"/>
                              </a:solidFill>
                              <a:ln w="9525">
                                <a:noFill/>
                                <a:round/>
                                <a:headEnd/>
                                <a:tailEnd/>
                              </a:ln>
                            </wps:spPr>
                            <wps:bodyPr>
                              <a:prstTxWarp prst="textNoShape">
                                <a:avLst/>
                              </a:prstTxWarp>
                            </wps:bodyPr>
                          </wps:wsp>
                          <wps:wsp>
                            <wps:cNvPr id="2047755311" name="Freeform 250"/>
                            <wps:cNvSpPr>
                              <a:spLocks/>
                            </wps:cNvSpPr>
                            <wps:spPr bwMode="auto">
                              <a:xfrm>
                                <a:off x="3553547" y="1150348"/>
                                <a:ext cx="60" cy="998"/>
                              </a:xfrm>
                              <a:custGeom>
                                <a:avLst/>
                                <a:gdLst/>
                                <a:ahLst/>
                                <a:cxnLst>
                                  <a:cxn ang="0">
                                    <a:pos x="0" y="2228"/>
                                  </a:cxn>
                                  <a:cxn ang="0">
                                    <a:pos x="0" y="49"/>
                                  </a:cxn>
                                  <a:cxn ang="0">
                                    <a:pos x="151" y="0"/>
                                  </a:cxn>
                                  <a:cxn ang="0">
                                    <a:pos x="151" y="2161"/>
                                  </a:cxn>
                                  <a:cxn ang="0">
                                    <a:pos x="0" y="2228"/>
                                  </a:cxn>
                                </a:cxnLst>
                                <a:rect l="0" t="0" r="r" b="b"/>
                                <a:pathLst>
                                  <a:path w="151" h="2228">
                                    <a:moveTo>
                                      <a:pt x="0" y="2228"/>
                                    </a:moveTo>
                                    <a:lnTo>
                                      <a:pt x="0" y="49"/>
                                    </a:lnTo>
                                    <a:lnTo>
                                      <a:pt x="151" y="0"/>
                                    </a:lnTo>
                                    <a:lnTo>
                                      <a:pt x="151" y="2161"/>
                                    </a:lnTo>
                                    <a:lnTo>
                                      <a:pt x="0" y="2228"/>
                                    </a:lnTo>
                                    <a:close/>
                                  </a:path>
                                </a:pathLst>
                              </a:custGeom>
                              <a:solidFill>
                                <a:srgbClr val="A1A09F"/>
                              </a:solidFill>
                              <a:ln w="9525">
                                <a:noFill/>
                                <a:round/>
                                <a:headEnd/>
                                <a:tailEnd/>
                              </a:ln>
                            </wps:spPr>
                            <wps:bodyPr>
                              <a:prstTxWarp prst="textNoShape">
                                <a:avLst/>
                              </a:prstTxWarp>
                            </wps:bodyPr>
                          </wps:wsp>
                          <wps:wsp>
                            <wps:cNvPr id="2047755312" name="Freeform 251"/>
                            <wps:cNvSpPr>
                              <a:spLocks/>
                            </wps:cNvSpPr>
                            <wps:spPr bwMode="auto">
                              <a:xfrm>
                                <a:off x="3553576" y="1150337"/>
                                <a:ext cx="60" cy="995"/>
                              </a:xfrm>
                              <a:custGeom>
                                <a:avLst/>
                                <a:gdLst/>
                                <a:ahLst/>
                                <a:cxnLst>
                                  <a:cxn ang="0">
                                    <a:pos x="0" y="2219"/>
                                  </a:cxn>
                                  <a:cxn ang="0">
                                    <a:pos x="0" y="48"/>
                                  </a:cxn>
                                  <a:cxn ang="0">
                                    <a:pos x="152" y="0"/>
                                  </a:cxn>
                                  <a:cxn ang="0">
                                    <a:pos x="152" y="2152"/>
                                  </a:cxn>
                                  <a:cxn ang="0">
                                    <a:pos x="0" y="2219"/>
                                  </a:cxn>
                                </a:cxnLst>
                                <a:rect l="0" t="0" r="r" b="b"/>
                                <a:pathLst>
                                  <a:path w="152" h="2219">
                                    <a:moveTo>
                                      <a:pt x="0" y="2219"/>
                                    </a:moveTo>
                                    <a:lnTo>
                                      <a:pt x="0" y="48"/>
                                    </a:lnTo>
                                    <a:lnTo>
                                      <a:pt x="152" y="0"/>
                                    </a:lnTo>
                                    <a:lnTo>
                                      <a:pt x="152" y="2152"/>
                                    </a:lnTo>
                                    <a:lnTo>
                                      <a:pt x="0" y="2219"/>
                                    </a:lnTo>
                                    <a:close/>
                                  </a:path>
                                </a:pathLst>
                              </a:custGeom>
                              <a:solidFill>
                                <a:srgbClr val="A09F9F"/>
                              </a:solidFill>
                              <a:ln w="9525">
                                <a:noFill/>
                                <a:round/>
                                <a:headEnd/>
                                <a:tailEnd/>
                              </a:ln>
                            </wps:spPr>
                            <wps:bodyPr>
                              <a:prstTxWarp prst="textNoShape">
                                <a:avLst/>
                              </a:prstTxWarp>
                            </wps:bodyPr>
                          </wps:wsp>
                          <wps:wsp>
                            <wps:cNvPr id="2047755313" name="Freeform 252"/>
                            <wps:cNvSpPr>
                              <a:spLocks/>
                            </wps:cNvSpPr>
                            <wps:spPr bwMode="auto">
                              <a:xfrm>
                                <a:off x="3553607" y="1150326"/>
                                <a:ext cx="58" cy="991"/>
                              </a:xfrm>
                              <a:custGeom>
                                <a:avLst/>
                                <a:gdLst/>
                                <a:ahLst/>
                                <a:cxnLst>
                                  <a:cxn ang="0">
                                    <a:pos x="0" y="2211"/>
                                  </a:cxn>
                                  <a:cxn ang="0">
                                    <a:pos x="0" y="50"/>
                                  </a:cxn>
                                  <a:cxn ang="0">
                                    <a:pos x="151" y="0"/>
                                  </a:cxn>
                                  <a:cxn ang="0">
                                    <a:pos x="151" y="2144"/>
                                  </a:cxn>
                                  <a:cxn ang="0">
                                    <a:pos x="0" y="2211"/>
                                  </a:cxn>
                                </a:cxnLst>
                                <a:rect l="0" t="0" r="r" b="b"/>
                                <a:pathLst>
                                  <a:path w="151" h="2211">
                                    <a:moveTo>
                                      <a:pt x="0" y="2211"/>
                                    </a:moveTo>
                                    <a:lnTo>
                                      <a:pt x="0" y="50"/>
                                    </a:lnTo>
                                    <a:lnTo>
                                      <a:pt x="151" y="0"/>
                                    </a:lnTo>
                                    <a:lnTo>
                                      <a:pt x="151" y="2144"/>
                                    </a:lnTo>
                                    <a:lnTo>
                                      <a:pt x="0" y="2211"/>
                                    </a:lnTo>
                                    <a:close/>
                                  </a:path>
                                </a:pathLst>
                              </a:custGeom>
                              <a:solidFill>
                                <a:srgbClr val="9F9E9E"/>
                              </a:solidFill>
                              <a:ln w="9525">
                                <a:noFill/>
                                <a:round/>
                                <a:headEnd/>
                                <a:tailEnd/>
                              </a:ln>
                            </wps:spPr>
                            <wps:bodyPr>
                              <a:prstTxWarp prst="textNoShape">
                                <a:avLst/>
                              </a:prstTxWarp>
                            </wps:bodyPr>
                          </wps:wsp>
                          <wps:wsp>
                            <wps:cNvPr id="2047755314" name="Freeform 253"/>
                            <wps:cNvSpPr>
                              <a:spLocks/>
                            </wps:cNvSpPr>
                            <wps:spPr bwMode="auto">
                              <a:xfrm>
                                <a:off x="3553636" y="1150315"/>
                                <a:ext cx="58" cy="987"/>
                              </a:xfrm>
                              <a:custGeom>
                                <a:avLst/>
                                <a:gdLst/>
                                <a:ahLst/>
                                <a:cxnLst>
                                  <a:cxn ang="0">
                                    <a:pos x="0" y="2202"/>
                                  </a:cxn>
                                  <a:cxn ang="0">
                                    <a:pos x="0" y="50"/>
                                  </a:cxn>
                                  <a:cxn ang="0">
                                    <a:pos x="150" y="0"/>
                                  </a:cxn>
                                  <a:cxn ang="0">
                                    <a:pos x="150" y="2135"/>
                                  </a:cxn>
                                  <a:cxn ang="0">
                                    <a:pos x="0" y="2202"/>
                                  </a:cxn>
                                </a:cxnLst>
                                <a:rect l="0" t="0" r="r" b="b"/>
                                <a:pathLst>
                                  <a:path w="150" h="2202">
                                    <a:moveTo>
                                      <a:pt x="0" y="2202"/>
                                    </a:moveTo>
                                    <a:lnTo>
                                      <a:pt x="0" y="50"/>
                                    </a:lnTo>
                                    <a:lnTo>
                                      <a:pt x="150" y="0"/>
                                    </a:lnTo>
                                    <a:lnTo>
                                      <a:pt x="150" y="2135"/>
                                    </a:lnTo>
                                    <a:lnTo>
                                      <a:pt x="0" y="2202"/>
                                    </a:lnTo>
                                    <a:close/>
                                  </a:path>
                                </a:pathLst>
                              </a:custGeom>
                              <a:solidFill>
                                <a:srgbClr val="9F9E9D"/>
                              </a:solidFill>
                              <a:ln w="9525">
                                <a:noFill/>
                                <a:round/>
                                <a:headEnd/>
                                <a:tailEnd/>
                              </a:ln>
                            </wps:spPr>
                            <wps:bodyPr>
                              <a:prstTxWarp prst="textNoShape">
                                <a:avLst/>
                              </a:prstTxWarp>
                            </wps:bodyPr>
                          </wps:wsp>
                          <wps:wsp>
                            <wps:cNvPr id="2047755315" name="Freeform 254"/>
                            <wps:cNvSpPr>
                              <a:spLocks/>
                            </wps:cNvSpPr>
                            <wps:spPr bwMode="auto">
                              <a:xfrm>
                                <a:off x="3553665" y="1150305"/>
                                <a:ext cx="59" cy="981"/>
                              </a:xfrm>
                              <a:custGeom>
                                <a:avLst/>
                                <a:gdLst/>
                                <a:ahLst/>
                                <a:cxnLst>
                                  <a:cxn ang="0">
                                    <a:pos x="0" y="2192"/>
                                  </a:cxn>
                                  <a:cxn ang="0">
                                    <a:pos x="0" y="48"/>
                                  </a:cxn>
                                  <a:cxn ang="0">
                                    <a:pos x="151" y="0"/>
                                  </a:cxn>
                                  <a:cxn ang="0">
                                    <a:pos x="151" y="2124"/>
                                  </a:cxn>
                                  <a:cxn ang="0">
                                    <a:pos x="0" y="2192"/>
                                  </a:cxn>
                                </a:cxnLst>
                                <a:rect l="0" t="0" r="r" b="b"/>
                                <a:pathLst>
                                  <a:path w="151" h="2192">
                                    <a:moveTo>
                                      <a:pt x="0" y="2192"/>
                                    </a:moveTo>
                                    <a:lnTo>
                                      <a:pt x="0" y="48"/>
                                    </a:lnTo>
                                    <a:lnTo>
                                      <a:pt x="151" y="0"/>
                                    </a:lnTo>
                                    <a:lnTo>
                                      <a:pt x="151" y="2124"/>
                                    </a:lnTo>
                                    <a:lnTo>
                                      <a:pt x="0" y="2192"/>
                                    </a:lnTo>
                                    <a:close/>
                                  </a:path>
                                </a:pathLst>
                              </a:custGeom>
                              <a:solidFill>
                                <a:srgbClr val="9E9D9C"/>
                              </a:solidFill>
                              <a:ln w="9525">
                                <a:noFill/>
                                <a:round/>
                                <a:headEnd/>
                                <a:tailEnd/>
                              </a:ln>
                            </wps:spPr>
                            <wps:bodyPr>
                              <a:prstTxWarp prst="textNoShape">
                                <a:avLst/>
                              </a:prstTxWarp>
                            </wps:bodyPr>
                          </wps:wsp>
                          <wps:wsp>
                            <wps:cNvPr id="2047755316" name="Freeform 255"/>
                            <wps:cNvSpPr>
                              <a:spLocks/>
                            </wps:cNvSpPr>
                            <wps:spPr bwMode="auto">
                              <a:xfrm>
                                <a:off x="3553694" y="1150293"/>
                                <a:ext cx="59" cy="978"/>
                              </a:xfrm>
                              <a:custGeom>
                                <a:avLst/>
                                <a:gdLst/>
                                <a:ahLst/>
                                <a:cxnLst>
                                  <a:cxn ang="0">
                                    <a:pos x="0" y="2184"/>
                                  </a:cxn>
                                  <a:cxn ang="0">
                                    <a:pos x="0" y="49"/>
                                  </a:cxn>
                                  <a:cxn ang="0">
                                    <a:pos x="151" y="0"/>
                                  </a:cxn>
                                  <a:cxn ang="0">
                                    <a:pos x="151" y="2115"/>
                                  </a:cxn>
                                  <a:cxn ang="0">
                                    <a:pos x="0" y="2184"/>
                                  </a:cxn>
                                </a:cxnLst>
                                <a:rect l="0" t="0" r="r" b="b"/>
                                <a:pathLst>
                                  <a:path w="151" h="2184">
                                    <a:moveTo>
                                      <a:pt x="0" y="2184"/>
                                    </a:moveTo>
                                    <a:lnTo>
                                      <a:pt x="0" y="49"/>
                                    </a:lnTo>
                                    <a:lnTo>
                                      <a:pt x="151" y="0"/>
                                    </a:lnTo>
                                    <a:lnTo>
                                      <a:pt x="151" y="2115"/>
                                    </a:lnTo>
                                    <a:lnTo>
                                      <a:pt x="0" y="2184"/>
                                    </a:lnTo>
                                    <a:close/>
                                  </a:path>
                                </a:pathLst>
                              </a:custGeom>
                              <a:solidFill>
                                <a:srgbClr val="9D9C9B"/>
                              </a:solidFill>
                              <a:ln w="9525">
                                <a:noFill/>
                                <a:round/>
                                <a:headEnd/>
                                <a:tailEnd/>
                              </a:ln>
                            </wps:spPr>
                            <wps:bodyPr>
                              <a:prstTxWarp prst="textNoShape">
                                <a:avLst/>
                              </a:prstTxWarp>
                            </wps:bodyPr>
                          </wps:wsp>
                          <wps:wsp>
                            <wps:cNvPr id="2047755317" name="Freeform 256"/>
                            <wps:cNvSpPr>
                              <a:spLocks/>
                            </wps:cNvSpPr>
                            <wps:spPr bwMode="auto">
                              <a:xfrm>
                                <a:off x="3553724" y="1150282"/>
                                <a:ext cx="58" cy="974"/>
                              </a:xfrm>
                              <a:custGeom>
                                <a:avLst/>
                                <a:gdLst/>
                                <a:ahLst/>
                                <a:cxnLst>
                                  <a:cxn ang="0">
                                    <a:pos x="0" y="2174"/>
                                  </a:cxn>
                                  <a:cxn ang="0">
                                    <a:pos x="0" y="50"/>
                                  </a:cxn>
                                  <a:cxn ang="0">
                                    <a:pos x="150" y="0"/>
                                  </a:cxn>
                                  <a:cxn ang="0">
                                    <a:pos x="150" y="2107"/>
                                  </a:cxn>
                                  <a:cxn ang="0">
                                    <a:pos x="0" y="2174"/>
                                  </a:cxn>
                                </a:cxnLst>
                                <a:rect l="0" t="0" r="r" b="b"/>
                                <a:pathLst>
                                  <a:path w="150" h="2174">
                                    <a:moveTo>
                                      <a:pt x="0" y="2174"/>
                                    </a:moveTo>
                                    <a:lnTo>
                                      <a:pt x="0" y="50"/>
                                    </a:lnTo>
                                    <a:lnTo>
                                      <a:pt x="150" y="0"/>
                                    </a:lnTo>
                                    <a:lnTo>
                                      <a:pt x="150" y="2107"/>
                                    </a:lnTo>
                                    <a:lnTo>
                                      <a:pt x="0" y="2174"/>
                                    </a:lnTo>
                                    <a:close/>
                                  </a:path>
                                </a:pathLst>
                              </a:custGeom>
                              <a:solidFill>
                                <a:srgbClr val="9C9B9B"/>
                              </a:solidFill>
                              <a:ln w="9525">
                                <a:noFill/>
                                <a:round/>
                                <a:headEnd/>
                                <a:tailEnd/>
                              </a:ln>
                            </wps:spPr>
                            <wps:bodyPr>
                              <a:prstTxWarp prst="textNoShape">
                                <a:avLst/>
                              </a:prstTxWarp>
                            </wps:bodyPr>
                          </wps:wsp>
                          <wps:wsp>
                            <wps:cNvPr id="2047755318" name="Freeform 257"/>
                            <wps:cNvSpPr>
                              <a:spLocks/>
                            </wps:cNvSpPr>
                            <wps:spPr bwMode="auto">
                              <a:xfrm>
                                <a:off x="3553753" y="1150271"/>
                                <a:ext cx="59" cy="969"/>
                              </a:xfrm>
                              <a:custGeom>
                                <a:avLst/>
                                <a:gdLst/>
                                <a:ahLst/>
                                <a:cxnLst>
                                  <a:cxn ang="0">
                                    <a:pos x="0" y="2164"/>
                                  </a:cxn>
                                  <a:cxn ang="0">
                                    <a:pos x="0" y="49"/>
                                  </a:cxn>
                                  <a:cxn ang="0">
                                    <a:pos x="150" y="0"/>
                                  </a:cxn>
                                  <a:cxn ang="0">
                                    <a:pos x="150" y="2097"/>
                                  </a:cxn>
                                  <a:cxn ang="0">
                                    <a:pos x="0" y="2164"/>
                                  </a:cxn>
                                </a:cxnLst>
                                <a:rect l="0" t="0" r="r" b="b"/>
                                <a:pathLst>
                                  <a:path w="150" h="2164">
                                    <a:moveTo>
                                      <a:pt x="0" y="2164"/>
                                    </a:moveTo>
                                    <a:lnTo>
                                      <a:pt x="0" y="49"/>
                                    </a:lnTo>
                                    <a:lnTo>
                                      <a:pt x="150" y="0"/>
                                    </a:lnTo>
                                    <a:lnTo>
                                      <a:pt x="150" y="2097"/>
                                    </a:lnTo>
                                    <a:lnTo>
                                      <a:pt x="0" y="2164"/>
                                    </a:lnTo>
                                    <a:close/>
                                  </a:path>
                                </a:pathLst>
                              </a:custGeom>
                              <a:solidFill>
                                <a:srgbClr val="9B9A9A"/>
                              </a:solidFill>
                              <a:ln w="9525">
                                <a:noFill/>
                                <a:round/>
                                <a:headEnd/>
                                <a:tailEnd/>
                              </a:ln>
                            </wps:spPr>
                            <wps:bodyPr>
                              <a:prstTxWarp prst="textNoShape">
                                <a:avLst/>
                              </a:prstTxWarp>
                            </wps:bodyPr>
                          </wps:wsp>
                          <wps:wsp>
                            <wps:cNvPr id="2047755319" name="Freeform 258"/>
                            <wps:cNvSpPr>
                              <a:spLocks/>
                            </wps:cNvSpPr>
                            <wps:spPr bwMode="auto">
                              <a:xfrm>
                                <a:off x="3553782" y="1150260"/>
                                <a:ext cx="60" cy="965"/>
                              </a:xfrm>
                              <a:custGeom>
                                <a:avLst/>
                                <a:gdLst/>
                                <a:ahLst/>
                                <a:cxnLst>
                                  <a:cxn ang="0">
                                    <a:pos x="0" y="2156"/>
                                  </a:cxn>
                                  <a:cxn ang="0">
                                    <a:pos x="0" y="49"/>
                                  </a:cxn>
                                  <a:cxn ang="0">
                                    <a:pos x="152" y="0"/>
                                  </a:cxn>
                                  <a:cxn ang="0">
                                    <a:pos x="152" y="2089"/>
                                  </a:cxn>
                                  <a:cxn ang="0">
                                    <a:pos x="0" y="2156"/>
                                  </a:cxn>
                                </a:cxnLst>
                                <a:rect l="0" t="0" r="r" b="b"/>
                                <a:pathLst>
                                  <a:path w="152" h="2156">
                                    <a:moveTo>
                                      <a:pt x="0" y="2156"/>
                                    </a:moveTo>
                                    <a:lnTo>
                                      <a:pt x="0" y="49"/>
                                    </a:lnTo>
                                    <a:lnTo>
                                      <a:pt x="152" y="0"/>
                                    </a:lnTo>
                                    <a:lnTo>
                                      <a:pt x="152" y="2089"/>
                                    </a:lnTo>
                                    <a:lnTo>
                                      <a:pt x="0" y="2156"/>
                                    </a:lnTo>
                                    <a:close/>
                                  </a:path>
                                </a:pathLst>
                              </a:custGeom>
                              <a:solidFill>
                                <a:srgbClr val="9B9A99"/>
                              </a:solidFill>
                              <a:ln w="9525">
                                <a:noFill/>
                                <a:round/>
                                <a:headEnd/>
                                <a:tailEnd/>
                              </a:ln>
                            </wps:spPr>
                            <wps:bodyPr>
                              <a:prstTxWarp prst="textNoShape">
                                <a:avLst/>
                              </a:prstTxWarp>
                            </wps:bodyPr>
                          </wps:wsp>
                          <wps:wsp>
                            <wps:cNvPr id="2047755320" name="Freeform 259"/>
                            <wps:cNvSpPr>
                              <a:spLocks/>
                            </wps:cNvSpPr>
                            <wps:spPr bwMode="auto">
                              <a:xfrm>
                                <a:off x="3553812" y="1150250"/>
                                <a:ext cx="60" cy="961"/>
                              </a:xfrm>
                              <a:custGeom>
                                <a:avLst/>
                                <a:gdLst/>
                                <a:ahLst/>
                                <a:cxnLst>
                                  <a:cxn ang="0">
                                    <a:pos x="0" y="2146"/>
                                  </a:cxn>
                                  <a:cxn ang="0">
                                    <a:pos x="0" y="49"/>
                                  </a:cxn>
                                  <a:cxn ang="0">
                                    <a:pos x="152" y="0"/>
                                  </a:cxn>
                                  <a:cxn ang="0">
                                    <a:pos x="152" y="2079"/>
                                  </a:cxn>
                                  <a:cxn ang="0">
                                    <a:pos x="0" y="2146"/>
                                  </a:cxn>
                                </a:cxnLst>
                                <a:rect l="0" t="0" r="r" b="b"/>
                                <a:pathLst>
                                  <a:path w="152" h="2146">
                                    <a:moveTo>
                                      <a:pt x="0" y="2146"/>
                                    </a:moveTo>
                                    <a:lnTo>
                                      <a:pt x="0" y="49"/>
                                    </a:lnTo>
                                    <a:lnTo>
                                      <a:pt x="152" y="0"/>
                                    </a:lnTo>
                                    <a:lnTo>
                                      <a:pt x="152" y="2079"/>
                                    </a:lnTo>
                                    <a:lnTo>
                                      <a:pt x="0" y="2146"/>
                                    </a:lnTo>
                                    <a:close/>
                                  </a:path>
                                </a:pathLst>
                              </a:custGeom>
                              <a:solidFill>
                                <a:srgbClr val="9A9998"/>
                              </a:solidFill>
                              <a:ln w="9525">
                                <a:noFill/>
                                <a:round/>
                                <a:headEnd/>
                                <a:tailEnd/>
                              </a:ln>
                            </wps:spPr>
                            <wps:bodyPr>
                              <a:prstTxWarp prst="textNoShape">
                                <a:avLst/>
                              </a:prstTxWarp>
                            </wps:bodyPr>
                          </wps:wsp>
                          <wps:wsp>
                            <wps:cNvPr id="2047755321" name="Freeform 260"/>
                            <wps:cNvSpPr>
                              <a:spLocks/>
                            </wps:cNvSpPr>
                            <wps:spPr bwMode="auto">
                              <a:xfrm>
                                <a:off x="3553842" y="1150239"/>
                                <a:ext cx="59" cy="957"/>
                              </a:xfrm>
                              <a:custGeom>
                                <a:avLst/>
                                <a:gdLst/>
                                <a:ahLst/>
                                <a:cxnLst>
                                  <a:cxn ang="0">
                                    <a:pos x="0" y="2137"/>
                                  </a:cxn>
                                  <a:cxn ang="0">
                                    <a:pos x="0" y="48"/>
                                  </a:cxn>
                                  <a:cxn ang="0">
                                    <a:pos x="150" y="0"/>
                                  </a:cxn>
                                  <a:cxn ang="0">
                                    <a:pos x="150" y="2070"/>
                                  </a:cxn>
                                  <a:cxn ang="0">
                                    <a:pos x="0" y="2137"/>
                                  </a:cxn>
                                </a:cxnLst>
                                <a:rect l="0" t="0" r="r" b="b"/>
                                <a:pathLst>
                                  <a:path w="150" h="2137">
                                    <a:moveTo>
                                      <a:pt x="0" y="2137"/>
                                    </a:moveTo>
                                    <a:lnTo>
                                      <a:pt x="0" y="48"/>
                                    </a:lnTo>
                                    <a:lnTo>
                                      <a:pt x="150" y="0"/>
                                    </a:lnTo>
                                    <a:lnTo>
                                      <a:pt x="150" y="2070"/>
                                    </a:lnTo>
                                    <a:lnTo>
                                      <a:pt x="0" y="2137"/>
                                    </a:lnTo>
                                    <a:close/>
                                  </a:path>
                                </a:pathLst>
                              </a:custGeom>
                              <a:solidFill>
                                <a:srgbClr val="999897"/>
                              </a:solidFill>
                              <a:ln w="9525">
                                <a:noFill/>
                                <a:round/>
                                <a:headEnd/>
                                <a:tailEnd/>
                              </a:ln>
                            </wps:spPr>
                            <wps:bodyPr>
                              <a:prstTxWarp prst="textNoShape">
                                <a:avLst/>
                              </a:prstTxWarp>
                            </wps:bodyPr>
                          </wps:wsp>
                          <wps:wsp>
                            <wps:cNvPr id="2047755322" name="Freeform 261"/>
                            <wps:cNvSpPr>
                              <a:spLocks/>
                            </wps:cNvSpPr>
                            <wps:spPr bwMode="auto">
                              <a:xfrm>
                                <a:off x="3553872" y="1150227"/>
                                <a:ext cx="58" cy="954"/>
                              </a:xfrm>
                              <a:custGeom>
                                <a:avLst/>
                                <a:gdLst/>
                                <a:ahLst/>
                                <a:cxnLst>
                                  <a:cxn ang="0">
                                    <a:pos x="0" y="2129"/>
                                  </a:cxn>
                                  <a:cxn ang="0">
                                    <a:pos x="0" y="50"/>
                                  </a:cxn>
                                  <a:cxn ang="0">
                                    <a:pos x="150" y="0"/>
                                  </a:cxn>
                                  <a:cxn ang="0">
                                    <a:pos x="150" y="2061"/>
                                  </a:cxn>
                                  <a:cxn ang="0">
                                    <a:pos x="0" y="2129"/>
                                  </a:cxn>
                                </a:cxnLst>
                                <a:rect l="0" t="0" r="r" b="b"/>
                                <a:pathLst>
                                  <a:path w="150" h="2129">
                                    <a:moveTo>
                                      <a:pt x="0" y="2129"/>
                                    </a:moveTo>
                                    <a:lnTo>
                                      <a:pt x="0" y="50"/>
                                    </a:lnTo>
                                    <a:lnTo>
                                      <a:pt x="150" y="0"/>
                                    </a:lnTo>
                                    <a:lnTo>
                                      <a:pt x="150" y="2061"/>
                                    </a:lnTo>
                                    <a:lnTo>
                                      <a:pt x="0" y="2129"/>
                                    </a:lnTo>
                                    <a:close/>
                                  </a:path>
                                </a:pathLst>
                              </a:custGeom>
                              <a:solidFill>
                                <a:srgbClr val="989797"/>
                              </a:solidFill>
                              <a:ln w="9525">
                                <a:noFill/>
                                <a:round/>
                                <a:headEnd/>
                                <a:tailEnd/>
                              </a:ln>
                            </wps:spPr>
                            <wps:bodyPr>
                              <a:prstTxWarp prst="textNoShape">
                                <a:avLst/>
                              </a:prstTxWarp>
                            </wps:bodyPr>
                          </wps:wsp>
                          <wps:wsp>
                            <wps:cNvPr id="2047755323" name="Freeform 262"/>
                            <wps:cNvSpPr>
                              <a:spLocks/>
                            </wps:cNvSpPr>
                            <wps:spPr bwMode="auto">
                              <a:xfrm>
                                <a:off x="3553901" y="1150216"/>
                                <a:ext cx="60" cy="950"/>
                              </a:xfrm>
                              <a:custGeom>
                                <a:avLst/>
                                <a:gdLst/>
                                <a:ahLst/>
                                <a:cxnLst>
                                  <a:cxn ang="0">
                                    <a:pos x="0" y="2120"/>
                                  </a:cxn>
                                  <a:cxn ang="0">
                                    <a:pos x="0" y="50"/>
                                  </a:cxn>
                                  <a:cxn ang="0">
                                    <a:pos x="152" y="0"/>
                                  </a:cxn>
                                  <a:cxn ang="0">
                                    <a:pos x="152" y="2051"/>
                                  </a:cxn>
                                  <a:cxn ang="0">
                                    <a:pos x="0" y="2120"/>
                                  </a:cxn>
                                </a:cxnLst>
                                <a:rect l="0" t="0" r="r" b="b"/>
                                <a:pathLst>
                                  <a:path w="152" h="2120">
                                    <a:moveTo>
                                      <a:pt x="0" y="2120"/>
                                    </a:moveTo>
                                    <a:lnTo>
                                      <a:pt x="0" y="50"/>
                                    </a:lnTo>
                                    <a:lnTo>
                                      <a:pt x="152" y="0"/>
                                    </a:lnTo>
                                    <a:lnTo>
                                      <a:pt x="152" y="2051"/>
                                    </a:lnTo>
                                    <a:lnTo>
                                      <a:pt x="0" y="2120"/>
                                    </a:lnTo>
                                    <a:close/>
                                  </a:path>
                                </a:pathLst>
                              </a:custGeom>
                              <a:solidFill>
                                <a:srgbClr val="979696"/>
                              </a:solidFill>
                              <a:ln w="9525">
                                <a:noFill/>
                                <a:round/>
                                <a:headEnd/>
                                <a:tailEnd/>
                              </a:ln>
                            </wps:spPr>
                            <wps:bodyPr>
                              <a:prstTxWarp prst="textNoShape">
                                <a:avLst/>
                              </a:prstTxWarp>
                            </wps:bodyPr>
                          </wps:wsp>
                          <wps:wsp>
                            <wps:cNvPr id="2047755324" name="Freeform 263"/>
                            <wps:cNvSpPr>
                              <a:spLocks/>
                            </wps:cNvSpPr>
                            <wps:spPr bwMode="auto">
                              <a:xfrm>
                                <a:off x="3553930" y="1150205"/>
                                <a:ext cx="60" cy="945"/>
                              </a:xfrm>
                              <a:custGeom>
                                <a:avLst/>
                                <a:gdLst/>
                                <a:ahLst/>
                                <a:cxnLst>
                                  <a:cxn ang="0">
                                    <a:pos x="0" y="2109"/>
                                  </a:cxn>
                                  <a:cxn ang="0">
                                    <a:pos x="0" y="48"/>
                                  </a:cxn>
                                  <a:cxn ang="0">
                                    <a:pos x="152" y="0"/>
                                  </a:cxn>
                                  <a:cxn ang="0">
                                    <a:pos x="152" y="2042"/>
                                  </a:cxn>
                                  <a:cxn ang="0">
                                    <a:pos x="0" y="2109"/>
                                  </a:cxn>
                                </a:cxnLst>
                                <a:rect l="0" t="0" r="r" b="b"/>
                                <a:pathLst>
                                  <a:path w="152" h="2109">
                                    <a:moveTo>
                                      <a:pt x="0" y="2109"/>
                                    </a:moveTo>
                                    <a:lnTo>
                                      <a:pt x="0" y="48"/>
                                    </a:lnTo>
                                    <a:lnTo>
                                      <a:pt x="152" y="0"/>
                                    </a:lnTo>
                                    <a:lnTo>
                                      <a:pt x="152" y="2042"/>
                                    </a:lnTo>
                                    <a:lnTo>
                                      <a:pt x="0" y="2109"/>
                                    </a:lnTo>
                                    <a:close/>
                                  </a:path>
                                </a:pathLst>
                              </a:custGeom>
                              <a:solidFill>
                                <a:srgbClr val="969595"/>
                              </a:solidFill>
                              <a:ln w="9525">
                                <a:noFill/>
                                <a:round/>
                                <a:headEnd/>
                                <a:tailEnd/>
                              </a:ln>
                            </wps:spPr>
                            <wps:bodyPr>
                              <a:prstTxWarp prst="textNoShape">
                                <a:avLst/>
                              </a:prstTxWarp>
                            </wps:bodyPr>
                          </wps:wsp>
                          <wps:wsp>
                            <wps:cNvPr id="2047755325" name="Freeform 264"/>
                            <wps:cNvSpPr>
                              <a:spLocks/>
                            </wps:cNvSpPr>
                            <wps:spPr bwMode="auto">
                              <a:xfrm>
                                <a:off x="3553961" y="1150193"/>
                                <a:ext cx="58" cy="942"/>
                              </a:xfrm>
                              <a:custGeom>
                                <a:avLst/>
                                <a:gdLst/>
                                <a:ahLst/>
                                <a:cxnLst>
                                  <a:cxn ang="0">
                                    <a:pos x="0" y="2101"/>
                                  </a:cxn>
                                  <a:cxn ang="0">
                                    <a:pos x="0" y="50"/>
                                  </a:cxn>
                                  <a:cxn ang="0">
                                    <a:pos x="150" y="0"/>
                                  </a:cxn>
                                  <a:cxn ang="0">
                                    <a:pos x="150" y="2034"/>
                                  </a:cxn>
                                  <a:cxn ang="0">
                                    <a:pos x="0" y="2101"/>
                                  </a:cxn>
                                </a:cxnLst>
                                <a:rect l="0" t="0" r="r" b="b"/>
                                <a:pathLst>
                                  <a:path w="150" h="2101">
                                    <a:moveTo>
                                      <a:pt x="0" y="2101"/>
                                    </a:moveTo>
                                    <a:lnTo>
                                      <a:pt x="0" y="50"/>
                                    </a:lnTo>
                                    <a:lnTo>
                                      <a:pt x="150" y="0"/>
                                    </a:lnTo>
                                    <a:lnTo>
                                      <a:pt x="150" y="2034"/>
                                    </a:lnTo>
                                    <a:lnTo>
                                      <a:pt x="0" y="2101"/>
                                    </a:lnTo>
                                    <a:close/>
                                  </a:path>
                                </a:pathLst>
                              </a:custGeom>
                              <a:solidFill>
                                <a:srgbClr val="959493"/>
                              </a:solidFill>
                              <a:ln w="9525">
                                <a:noFill/>
                                <a:round/>
                                <a:headEnd/>
                                <a:tailEnd/>
                              </a:ln>
                            </wps:spPr>
                            <wps:bodyPr>
                              <a:prstTxWarp prst="textNoShape">
                                <a:avLst/>
                              </a:prstTxWarp>
                            </wps:bodyPr>
                          </wps:wsp>
                          <wps:wsp>
                            <wps:cNvPr id="2047755326" name="Freeform 265"/>
                            <wps:cNvSpPr>
                              <a:spLocks/>
                            </wps:cNvSpPr>
                            <wps:spPr bwMode="auto">
                              <a:xfrm>
                                <a:off x="3553990" y="1150182"/>
                                <a:ext cx="59" cy="939"/>
                              </a:xfrm>
                              <a:custGeom>
                                <a:avLst/>
                                <a:gdLst/>
                                <a:ahLst/>
                                <a:cxnLst>
                                  <a:cxn ang="0">
                                    <a:pos x="0" y="2092"/>
                                  </a:cxn>
                                  <a:cxn ang="0">
                                    <a:pos x="0" y="50"/>
                                  </a:cxn>
                                  <a:cxn ang="0">
                                    <a:pos x="150" y="0"/>
                                  </a:cxn>
                                  <a:cxn ang="0">
                                    <a:pos x="150" y="2025"/>
                                  </a:cxn>
                                  <a:cxn ang="0">
                                    <a:pos x="0" y="2092"/>
                                  </a:cxn>
                                </a:cxnLst>
                                <a:rect l="0" t="0" r="r" b="b"/>
                                <a:pathLst>
                                  <a:path w="150" h="2092">
                                    <a:moveTo>
                                      <a:pt x="0" y="2092"/>
                                    </a:moveTo>
                                    <a:lnTo>
                                      <a:pt x="0" y="50"/>
                                    </a:lnTo>
                                    <a:lnTo>
                                      <a:pt x="150" y="0"/>
                                    </a:lnTo>
                                    <a:lnTo>
                                      <a:pt x="150" y="2025"/>
                                    </a:lnTo>
                                    <a:lnTo>
                                      <a:pt x="0" y="2092"/>
                                    </a:lnTo>
                                    <a:close/>
                                  </a:path>
                                </a:pathLst>
                              </a:custGeom>
                              <a:solidFill>
                                <a:srgbClr val="949393"/>
                              </a:solidFill>
                              <a:ln w="9525">
                                <a:noFill/>
                                <a:round/>
                                <a:headEnd/>
                                <a:tailEnd/>
                              </a:ln>
                            </wps:spPr>
                            <wps:bodyPr>
                              <a:prstTxWarp prst="textNoShape">
                                <a:avLst/>
                              </a:prstTxWarp>
                            </wps:bodyPr>
                          </wps:wsp>
                          <wps:wsp>
                            <wps:cNvPr id="2047755327" name="Freeform 266"/>
                            <wps:cNvSpPr>
                              <a:spLocks/>
                            </wps:cNvSpPr>
                            <wps:spPr bwMode="auto">
                              <a:xfrm>
                                <a:off x="3554019" y="1150172"/>
                                <a:ext cx="59" cy="932"/>
                              </a:xfrm>
                              <a:custGeom>
                                <a:avLst/>
                                <a:gdLst/>
                                <a:ahLst/>
                                <a:cxnLst>
                                  <a:cxn ang="0">
                                    <a:pos x="0" y="2082"/>
                                  </a:cxn>
                                  <a:cxn ang="0">
                                    <a:pos x="0" y="48"/>
                                  </a:cxn>
                                  <a:cxn ang="0">
                                    <a:pos x="151" y="0"/>
                                  </a:cxn>
                                  <a:cxn ang="0">
                                    <a:pos x="151" y="2015"/>
                                  </a:cxn>
                                  <a:cxn ang="0">
                                    <a:pos x="0" y="2082"/>
                                  </a:cxn>
                                </a:cxnLst>
                                <a:rect l="0" t="0" r="r" b="b"/>
                                <a:pathLst>
                                  <a:path w="151" h="2082">
                                    <a:moveTo>
                                      <a:pt x="0" y="2082"/>
                                    </a:moveTo>
                                    <a:lnTo>
                                      <a:pt x="0" y="48"/>
                                    </a:lnTo>
                                    <a:lnTo>
                                      <a:pt x="151" y="0"/>
                                    </a:lnTo>
                                    <a:lnTo>
                                      <a:pt x="151" y="2015"/>
                                    </a:lnTo>
                                    <a:lnTo>
                                      <a:pt x="0" y="2082"/>
                                    </a:lnTo>
                                    <a:close/>
                                  </a:path>
                                </a:pathLst>
                              </a:custGeom>
                              <a:solidFill>
                                <a:srgbClr val="949292"/>
                              </a:solidFill>
                              <a:ln w="9525">
                                <a:noFill/>
                                <a:round/>
                                <a:headEnd/>
                                <a:tailEnd/>
                              </a:ln>
                            </wps:spPr>
                            <wps:bodyPr>
                              <a:prstTxWarp prst="textNoShape">
                                <a:avLst/>
                              </a:prstTxWarp>
                            </wps:bodyPr>
                          </wps:wsp>
                          <wps:wsp>
                            <wps:cNvPr id="2047755328" name="Freeform 267"/>
                            <wps:cNvSpPr>
                              <a:spLocks/>
                            </wps:cNvSpPr>
                            <wps:spPr bwMode="auto">
                              <a:xfrm>
                                <a:off x="3554049" y="1150161"/>
                                <a:ext cx="58" cy="929"/>
                              </a:xfrm>
                              <a:custGeom>
                                <a:avLst/>
                                <a:gdLst/>
                                <a:ahLst/>
                                <a:cxnLst>
                                  <a:cxn ang="0">
                                    <a:pos x="0" y="2073"/>
                                  </a:cxn>
                                  <a:cxn ang="0">
                                    <a:pos x="0" y="48"/>
                                  </a:cxn>
                                  <a:cxn ang="0">
                                    <a:pos x="151" y="0"/>
                                  </a:cxn>
                                  <a:cxn ang="0">
                                    <a:pos x="151" y="2006"/>
                                  </a:cxn>
                                  <a:cxn ang="0">
                                    <a:pos x="0" y="2073"/>
                                  </a:cxn>
                                </a:cxnLst>
                                <a:rect l="0" t="0" r="r" b="b"/>
                                <a:pathLst>
                                  <a:path w="151" h="2073">
                                    <a:moveTo>
                                      <a:pt x="0" y="2073"/>
                                    </a:moveTo>
                                    <a:lnTo>
                                      <a:pt x="0" y="48"/>
                                    </a:lnTo>
                                    <a:lnTo>
                                      <a:pt x="151" y="0"/>
                                    </a:lnTo>
                                    <a:lnTo>
                                      <a:pt x="151" y="2006"/>
                                    </a:lnTo>
                                    <a:lnTo>
                                      <a:pt x="0" y="2073"/>
                                    </a:lnTo>
                                    <a:close/>
                                  </a:path>
                                </a:pathLst>
                              </a:custGeom>
                              <a:solidFill>
                                <a:srgbClr val="939291"/>
                              </a:solidFill>
                              <a:ln w="9525">
                                <a:noFill/>
                                <a:round/>
                                <a:headEnd/>
                                <a:tailEnd/>
                              </a:ln>
                            </wps:spPr>
                            <wps:bodyPr>
                              <a:prstTxWarp prst="textNoShape">
                                <a:avLst/>
                              </a:prstTxWarp>
                            </wps:bodyPr>
                          </wps:wsp>
                          <wps:wsp>
                            <wps:cNvPr id="2047755329" name="Freeform 268"/>
                            <wps:cNvSpPr>
                              <a:spLocks/>
                            </wps:cNvSpPr>
                            <wps:spPr bwMode="auto">
                              <a:xfrm>
                                <a:off x="3554078" y="1150150"/>
                                <a:ext cx="59" cy="925"/>
                              </a:xfrm>
                              <a:custGeom>
                                <a:avLst/>
                                <a:gdLst/>
                                <a:ahLst/>
                                <a:cxnLst>
                                  <a:cxn ang="0">
                                    <a:pos x="0" y="2065"/>
                                  </a:cxn>
                                  <a:cxn ang="0">
                                    <a:pos x="0" y="50"/>
                                  </a:cxn>
                                  <a:cxn ang="0">
                                    <a:pos x="151" y="0"/>
                                  </a:cxn>
                                  <a:cxn ang="0">
                                    <a:pos x="151" y="1998"/>
                                  </a:cxn>
                                  <a:cxn ang="0">
                                    <a:pos x="0" y="2065"/>
                                  </a:cxn>
                                </a:cxnLst>
                                <a:rect l="0" t="0" r="r" b="b"/>
                                <a:pathLst>
                                  <a:path w="151" h="2065">
                                    <a:moveTo>
                                      <a:pt x="0" y="2065"/>
                                    </a:moveTo>
                                    <a:lnTo>
                                      <a:pt x="0" y="50"/>
                                    </a:lnTo>
                                    <a:lnTo>
                                      <a:pt x="151" y="0"/>
                                    </a:lnTo>
                                    <a:lnTo>
                                      <a:pt x="151" y="1998"/>
                                    </a:lnTo>
                                    <a:lnTo>
                                      <a:pt x="0" y="2065"/>
                                    </a:lnTo>
                                    <a:close/>
                                  </a:path>
                                </a:pathLst>
                              </a:custGeom>
                              <a:solidFill>
                                <a:srgbClr val="929190"/>
                              </a:solidFill>
                              <a:ln w="9525">
                                <a:noFill/>
                                <a:round/>
                                <a:headEnd/>
                                <a:tailEnd/>
                              </a:ln>
                            </wps:spPr>
                            <wps:bodyPr>
                              <a:prstTxWarp prst="textNoShape">
                                <a:avLst/>
                              </a:prstTxWarp>
                            </wps:bodyPr>
                          </wps:wsp>
                          <wps:wsp>
                            <wps:cNvPr id="2047755330" name="Freeform 269"/>
                            <wps:cNvSpPr>
                              <a:spLocks/>
                            </wps:cNvSpPr>
                            <wps:spPr bwMode="auto">
                              <a:xfrm>
                                <a:off x="3554107" y="1150139"/>
                                <a:ext cx="59" cy="921"/>
                              </a:xfrm>
                              <a:custGeom>
                                <a:avLst/>
                                <a:gdLst/>
                                <a:ahLst/>
                                <a:cxnLst>
                                  <a:cxn ang="0">
                                    <a:pos x="0" y="2056"/>
                                  </a:cxn>
                                  <a:cxn ang="0">
                                    <a:pos x="0" y="50"/>
                                  </a:cxn>
                                  <a:cxn ang="0">
                                    <a:pos x="151" y="0"/>
                                  </a:cxn>
                                  <a:cxn ang="0">
                                    <a:pos x="151" y="1987"/>
                                  </a:cxn>
                                  <a:cxn ang="0">
                                    <a:pos x="0" y="2056"/>
                                  </a:cxn>
                                </a:cxnLst>
                                <a:rect l="0" t="0" r="r" b="b"/>
                                <a:pathLst>
                                  <a:path w="151" h="2056">
                                    <a:moveTo>
                                      <a:pt x="0" y="2056"/>
                                    </a:moveTo>
                                    <a:lnTo>
                                      <a:pt x="0" y="50"/>
                                    </a:lnTo>
                                    <a:lnTo>
                                      <a:pt x="151" y="0"/>
                                    </a:lnTo>
                                    <a:lnTo>
                                      <a:pt x="151" y="1987"/>
                                    </a:lnTo>
                                    <a:lnTo>
                                      <a:pt x="0" y="2056"/>
                                    </a:lnTo>
                                    <a:close/>
                                  </a:path>
                                </a:pathLst>
                              </a:custGeom>
                              <a:solidFill>
                                <a:srgbClr val="919090"/>
                              </a:solidFill>
                              <a:ln w="9525">
                                <a:noFill/>
                                <a:round/>
                                <a:headEnd/>
                                <a:tailEnd/>
                              </a:ln>
                            </wps:spPr>
                            <wps:bodyPr>
                              <a:prstTxWarp prst="textNoShape">
                                <a:avLst/>
                              </a:prstTxWarp>
                            </wps:bodyPr>
                          </wps:wsp>
                          <wps:wsp>
                            <wps:cNvPr id="2047755331" name="Freeform 270"/>
                            <wps:cNvSpPr>
                              <a:spLocks/>
                            </wps:cNvSpPr>
                            <wps:spPr bwMode="auto">
                              <a:xfrm>
                                <a:off x="3554137" y="1150129"/>
                                <a:ext cx="59" cy="916"/>
                              </a:xfrm>
                              <a:custGeom>
                                <a:avLst/>
                                <a:gdLst/>
                                <a:ahLst/>
                                <a:cxnLst>
                                  <a:cxn ang="0">
                                    <a:pos x="0" y="2046"/>
                                  </a:cxn>
                                  <a:cxn ang="0">
                                    <a:pos x="0" y="48"/>
                                  </a:cxn>
                                  <a:cxn ang="0">
                                    <a:pos x="151" y="0"/>
                                  </a:cxn>
                                  <a:cxn ang="0">
                                    <a:pos x="151" y="1978"/>
                                  </a:cxn>
                                  <a:cxn ang="0">
                                    <a:pos x="0" y="2046"/>
                                  </a:cxn>
                                </a:cxnLst>
                                <a:rect l="0" t="0" r="r" b="b"/>
                                <a:pathLst>
                                  <a:path w="151" h="2046">
                                    <a:moveTo>
                                      <a:pt x="0" y="2046"/>
                                    </a:moveTo>
                                    <a:lnTo>
                                      <a:pt x="0" y="48"/>
                                    </a:lnTo>
                                    <a:lnTo>
                                      <a:pt x="151" y="0"/>
                                    </a:lnTo>
                                    <a:lnTo>
                                      <a:pt x="151" y="1978"/>
                                    </a:lnTo>
                                    <a:lnTo>
                                      <a:pt x="0" y="2046"/>
                                    </a:lnTo>
                                    <a:close/>
                                  </a:path>
                                </a:pathLst>
                              </a:custGeom>
                              <a:solidFill>
                                <a:srgbClr val="91908F"/>
                              </a:solidFill>
                              <a:ln w="9525">
                                <a:noFill/>
                                <a:round/>
                                <a:headEnd/>
                                <a:tailEnd/>
                              </a:ln>
                            </wps:spPr>
                            <wps:bodyPr>
                              <a:prstTxWarp prst="textNoShape">
                                <a:avLst/>
                              </a:prstTxWarp>
                            </wps:bodyPr>
                          </wps:wsp>
                          <wps:wsp>
                            <wps:cNvPr id="2047755332" name="Freeform 271"/>
                            <wps:cNvSpPr>
                              <a:spLocks/>
                            </wps:cNvSpPr>
                            <wps:spPr bwMode="auto">
                              <a:xfrm>
                                <a:off x="3554166" y="1150116"/>
                                <a:ext cx="60" cy="913"/>
                              </a:xfrm>
                              <a:custGeom>
                                <a:avLst/>
                                <a:gdLst/>
                                <a:ahLst/>
                                <a:cxnLst>
                                  <a:cxn ang="0">
                                    <a:pos x="0" y="2036"/>
                                  </a:cxn>
                                  <a:cxn ang="0">
                                    <a:pos x="0" y="49"/>
                                  </a:cxn>
                                  <a:cxn ang="0">
                                    <a:pos x="151" y="0"/>
                                  </a:cxn>
                                  <a:cxn ang="0">
                                    <a:pos x="151" y="1969"/>
                                  </a:cxn>
                                  <a:cxn ang="0">
                                    <a:pos x="0" y="2036"/>
                                  </a:cxn>
                                </a:cxnLst>
                                <a:rect l="0" t="0" r="r" b="b"/>
                                <a:pathLst>
                                  <a:path w="151" h="2036">
                                    <a:moveTo>
                                      <a:pt x="0" y="2036"/>
                                    </a:moveTo>
                                    <a:lnTo>
                                      <a:pt x="0" y="49"/>
                                    </a:lnTo>
                                    <a:lnTo>
                                      <a:pt x="151" y="0"/>
                                    </a:lnTo>
                                    <a:lnTo>
                                      <a:pt x="151" y="1969"/>
                                    </a:lnTo>
                                    <a:lnTo>
                                      <a:pt x="0" y="2036"/>
                                    </a:lnTo>
                                    <a:close/>
                                  </a:path>
                                </a:pathLst>
                              </a:custGeom>
                              <a:solidFill>
                                <a:srgbClr val="908F8E"/>
                              </a:solidFill>
                              <a:ln w="9525">
                                <a:noFill/>
                                <a:round/>
                                <a:headEnd/>
                                <a:tailEnd/>
                              </a:ln>
                            </wps:spPr>
                            <wps:bodyPr>
                              <a:prstTxWarp prst="textNoShape">
                                <a:avLst/>
                              </a:prstTxWarp>
                            </wps:bodyPr>
                          </wps:wsp>
                          <wps:wsp>
                            <wps:cNvPr id="2047755333" name="Freeform 272"/>
                            <wps:cNvSpPr>
                              <a:spLocks/>
                            </wps:cNvSpPr>
                            <wps:spPr bwMode="auto">
                              <a:xfrm>
                                <a:off x="3554196" y="1150106"/>
                                <a:ext cx="59" cy="908"/>
                              </a:xfrm>
                              <a:custGeom>
                                <a:avLst/>
                                <a:gdLst/>
                                <a:ahLst/>
                                <a:cxnLst>
                                  <a:cxn ang="0">
                                    <a:pos x="0" y="2027"/>
                                  </a:cxn>
                                  <a:cxn ang="0">
                                    <a:pos x="0" y="49"/>
                                  </a:cxn>
                                  <a:cxn ang="0">
                                    <a:pos x="150" y="0"/>
                                  </a:cxn>
                                  <a:cxn ang="0">
                                    <a:pos x="150" y="1960"/>
                                  </a:cxn>
                                  <a:cxn ang="0">
                                    <a:pos x="0" y="2027"/>
                                  </a:cxn>
                                </a:cxnLst>
                                <a:rect l="0" t="0" r="r" b="b"/>
                                <a:pathLst>
                                  <a:path w="150" h="2027">
                                    <a:moveTo>
                                      <a:pt x="0" y="2027"/>
                                    </a:moveTo>
                                    <a:lnTo>
                                      <a:pt x="0" y="49"/>
                                    </a:lnTo>
                                    <a:lnTo>
                                      <a:pt x="150" y="0"/>
                                    </a:lnTo>
                                    <a:lnTo>
                                      <a:pt x="150" y="1960"/>
                                    </a:lnTo>
                                    <a:lnTo>
                                      <a:pt x="0" y="2027"/>
                                    </a:lnTo>
                                    <a:close/>
                                  </a:path>
                                </a:pathLst>
                              </a:custGeom>
                              <a:solidFill>
                                <a:srgbClr val="8F8E8D"/>
                              </a:solidFill>
                              <a:ln w="9525">
                                <a:noFill/>
                                <a:round/>
                                <a:headEnd/>
                                <a:tailEnd/>
                              </a:ln>
                            </wps:spPr>
                            <wps:bodyPr>
                              <a:prstTxWarp prst="textNoShape">
                                <a:avLst/>
                              </a:prstTxWarp>
                            </wps:bodyPr>
                          </wps:wsp>
                          <wps:wsp>
                            <wps:cNvPr id="2047755334" name="Freeform 273"/>
                            <wps:cNvSpPr>
                              <a:spLocks/>
                            </wps:cNvSpPr>
                            <wps:spPr bwMode="auto">
                              <a:xfrm>
                                <a:off x="3554226" y="1150095"/>
                                <a:ext cx="58" cy="905"/>
                              </a:xfrm>
                              <a:custGeom>
                                <a:avLst/>
                                <a:gdLst/>
                                <a:ahLst/>
                                <a:cxnLst>
                                  <a:cxn ang="0">
                                    <a:pos x="0" y="2018"/>
                                  </a:cxn>
                                  <a:cxn ang="0">
                                    <a:pos x="0" y="49"/>
                                  </a:cxn>
                                  <a:cxn ang="0">
                                    <a:pos x="150" y="0"/>
                                  </a:cxn>
                                  <a:cxn ang="0">
                                    <a:pos x="150" y="1951"/>
                                  </a:cxn>
                                  <a:cxn ang="0">
                                    <a:pos x="0" y="2018"/>
                                  </a:cxn>
                                </a:cxnLst>
                                <a:rect l="0" t="0" r="r" b="b"/>
                                <a:pathLst>
                                  <a:path w="150" h="2018">
                                    <a:moveTo>
                                      <a:pt x="0" y="2018"/>
                                    </a:moveTo>
                                    <a:lnTo>
                                      <a:pt x="0" y="49"/>
                                    </a:lnTo>
                                    <a:lnTo>
                                      <a:pt x="150" y="0"/>
                                    </a:lnTo>
                                    <a:lnTo>
                                      <a:pt x="150" y="1951"/>
                                    </a:lnTo>
                                    <a:lnTo>
                                      <a:pt x="0" y="2018"/>
                                    </a:lnTo>
                                    <a:close/>
                                  </a:path>
                                </a:pathLst>
                              </a:custGeom>
                              <a:solidFill>
                                <a:srgbClr val="8E8D8D"/>
                              </a:solidFill>
                              <a:ln w="9525">
                                <a:noFill/>
                                <a:round/>
                                <a:headEnd/>
                                <a:tailEnd/>
                              </a:ln>
                            </wps:spPr>
                            <wps:bodyPr>
                              <a:prstTxWarp prst="textNoShape">
                                <a:avLst/>
                              </a:prstTxWarp>
                            </wps:bodyPr>
                          </wps:wsp>
                          <wps:wsp>
                            <wps:cNvPr id="2047755335" name="Freeform 274"/>
                            <wps:cNvSpPr>
                              <a:spLocks/>
                            </wps:cNvSpPr>
                            <wps:spPr bwMode="auto">
                              <a:xfrm>
                                <a:off x="3554255" y="1150084"/>
                                <a:ext cx="59" cy="901"/>
                              </a:xfrm>
                              <a:custGeom>
                                <a:avLst/>
                                <a:gdLst/>
                                <a:ahLst/>
                                <a:cxnLst>
                                  <a:cxn ang="0">
                                    <a:pos x="0" y="2010"/>
                                  </a:cxn>
                                  <a:cxn ang="0">
                                    <a:pos x="0" y="50"/>
                                  </a:cxn>
                                  <a:cxn ang="0">
                                    <a:pos x="152" y="0"/>
                                  </a:cxn>
                                  <a:cxn ang="0">
                                    <a:pos x="152" y="1943"/>
                                  </a:cxn>
                                  <a:cxn ang="0">
                                    <a:pos x="0" y="2010"/>
                                  </a:cxn>
                                </a:cxnLst>
                                <a:rect l="0" t="0" r="r" b="b"/>
                                <a:pathLst>
                                  <a:path w="152" h="2010">
                                    <a:moveTo>
                                      <a:pt x="0" y="2010"/>
                                    </a:moveTo>
                                    <a:lnTo>
                                      <a:pt x="0" y="50"/>
                                    </a:lnTo>
                                    <a:lnTo>
                                      <a:pt x="152" y="0"/>
                                    </a:lnTo>
                                    <a:lnTo>
                                      <a:pt x="152" y="1943"/>
                                    </a:lnTo>
                                    <a:lnTo>
                                      <a:pt x="0" y="2010"/>
                                    </a:lnTo>
                                    <a:close/>
                                  </a:path>
                                </a:pathLst>
                              </a:custGeom>
                              <a:solidFill>
                                <a:srgbClr val="8E8D8C"/>
                              </a:solidFill>
                              <a:ln w="9525">
                                <a:noFill/>
                                <a:round/>
                                <a:headEnd/>
                                <a:tailEnd/>
                              </a:ln>
                            </wps:spPr>
                            <wps:bodyPr>
                              <a:prstTxWarp prst="textNoShape">
                                <a:avLst/>
                              </a:prstTxWarp>
                            </wps:bodyPr>
                          </wps:wsp>
                          <wps:wsp>
                            <wps:cNvPr id="2047755336" name="Freeform 275"/>
                            <wps:cNvSpPr>
                              <a:spLocks/>
                            </wps:cNvSpPr>
                            <wps:spPr bwMode="auto">
                              <a:xfrm>
                                <a:off x="3554284" y="1150073"/>
                                <a:ext cx="59" cy="896"/>
                              </a:xfrm>
                              <a:custGeom>
                                <a:avLst/>
                                <a:gdLst/>
                                <a:ahLst/>
                                <a:cxnLst>
                                  <a:cxn ang="0">
                                    <a:pos x="0" y="2000"/>
                                  </a:cxn>
                                  <a:cxn ang="0">
                                    <a:pos x="0" y="49"/>
                                  </a:cxn>
                                  <a:cxn ang="0">
                                    <a:pos x="152" y="0"/>
                                  </a:cxn>
                                  <a:cxn ang="0">
                                    <a:pos x="152" y="1933"/>
                                  </a:cxn>
                                  <a:cxn ang="0">
                                    <a:pos x="0" y="2000"/>
                                  </a:cxn>
                                </a:cxnLst>
                                <a:rect l="0" t="0" r="r" b="b"/>
                                <a:pathLst>
                                  <a:path w="152" h="2000">
                                    <a:moveTo>
                                      <a:pt x="0" y="2000"/>
                                    </a:moveTo>
                                    <a:lnTo>
                                      <a:pt x="0" y="49"/>
                                    </a:lnTo>
                                    <a:lnTo>
                                      <a:pt x="152" y="0"/>
                                    </a:lnTo>
                                    <a:lnTo>
                                      <a:pt x="152" y="1933"/>
                                    </a:lnTo>
                                    <a:lnTo>
                                      <a:pt x="0" y="2000"/>
                                    </a:lnTo>
                                    <a:close/>
                                  </a:path>
                                </a:pathLst>
                              </a:custGeom>
                              <a:solidFill>
                                <a:srgbClr val="8D8C8B"/>
                              </a:solidFill>
                              <a:ln w="9525">
                                <a:noFill/>
                                <a:round/>
                                <a:headEnd/>
                                <a:tailEnd/>
                              </a:ln>
                            </wps:spPr>
                            <wps:bodyPr>
                              <a:prstTxWarp prst="textNoShape">
                                <a:avLst/>
                              </a:prstTxWarp>
                            </wps:bodyPr>
                          </wps:wsp>
                          <wps:wsp>
                            <wps:cNvPr id="2047755337" name="Freeform 276"/>
                            <wps:cNvSpPr>
                              <a:spLocks/>
                            </wps:cNvSpPr>
                            <wps:spPr bwMode="auto">
                              <a:xfrm>
                                <a:off x="3554314" y="1150063"/>
                                <a:ext cx="58" cy="891"/>
                              </a:xfrm>
                              <a:custGeom>
                                <a:avLst/>
                                <a:gdLst/>
                                <a:ahLst/>
                                <a:cxnLst>
                                  <a:cxn ang="0">
                                    <a:pos x="0" y="1991"/>
                                  </a:cxn>
                                  <a:cxn ang="0">
                                    <a:pos x="0" y="48"/>
                                  </a:cxn>
                                  <a:cxn ang="0">
                                    <a:pos x="150" y="0"/>
                                  </a:cxn>
                                  <a:cxn ang="0">
                                    <a:pos x="150" y="1924"/>
                                  </a:cxn>
                                  <a:cxn ang="0">
                                    <a:pos x="0" y="1991"/>
                                  </a:cxn>
                                </a:cxnLst>
                                <a:rect l="0" t="0" r="r" b="b"/>
                                <a:pathLst>
                                  <a:path w="150" h="1991">
                                    <a:moveTo>
                                      <a:pt x="0" y="1991"/>
                                    </a:moveTo>
                                    <a:lnTo>
                                      <a:pt x="0" y="48"/>
                                    </a:lnTo>
                                    <a:lnTo>
                                      <a:pt x="150" y="0"/>
                                    </a:lnTo>
                                    <a:lnTo>
                                      <a:pt x="150" y="1924"/>
                                    </a:lnTo>
                                    <a:lnTo>
                                      <a:pt x="0" y="1991"/>
                                    </a:lnTo>
                                    <a:close/>
                                  </a:path>
                                </a:pathLst>
                              </a:custGeom>
                              <a:solidFill>
                                <a:srgbClr val="8C8B8A"/>
                              </a:solidFill>
                              <a:ln w="9525">
                                <a:noFill/>
                                <a:round/>
                                <a:headEnd/>
                                <a:tailEnd/>
                              </a:ln>
                            </wps:spPr>
                            <wps:bodyPr>
                              <a:prstTxWarp prst="textNoShape">
                                <a:avLst/>
                              </a:prstTxWarp>
                            </wps:bodyPr>
                          </wps:wsp>
                          <wps:wsp>
                            <wps:cNvPr id="2047755338" name="Freeform 277"/>
                            <wps:cNvSpPr>
                              <a:spLocks/>
                            </wps:cNvSpPr>
                            <wps:spPr bwMode="auto">
                              <a:xfrm>
                                <a:off x="3554343" y="1150051"/>
                                <a:ext cx="60" cy="888"/>
                              </a:xfrm>
                              <a:custGeom>
                                <a:avLst/>
                                <a:gdLst/>
                                <a:ahLst/>
                                <a:cxnLst>
                                  <a:cxn ang="0">
                                    <a:pos x="0" y="1983"/>
                                  </a:cxn>
                                  <a:cxn ang="0">
                                    <a:pos x="0" y="50"/>
                                  </a:cxn>
                                  <a:cxn ang="0">
                                    <a:pos x="151" y="0"/>
                                  </a:cxn>
                                  <a:cxn ang="0">
                                    <a:pos x="151" y="1915"/>
                                  </a:cxn>
                                  <a:cxn ang="0">
                                    <a:pos x="0" y="1983"/>
                                  </a:cxn>
                                </a:cxnLst>
                                <a:rect l="0" t="0" r="r" b="b"/>
                                <a:pathLst>
                                  <a:path w="151" h="1983">
                                    <a:moveTo>
                                      <a:pt x="0" y="1983"/>
                                    </a:moveTo>
                                    <a:lnTo>
                                      <a:pt x="0" y="50"/>
                                    </a:lnTo>
                                    <a:lnTo>
                                      <a:pt x="151" y="0"/>
                                    </a:lnTo>
                                    <a:lnTo>
                                      <a:pt x="151" y="1915"/>
                                    </a:lnTo>
                                    <a:lnTo>
                                      <a:pt x="0" y="1983"/>
                                    </a:lnTo>
                                    <a:close/>
                                  </a:path>
                                </a:pathLst>
                              </a:custGeom>
                              <a:solidFill>
                                <a:srgbClr val="8B8A8A"/>
                              </a:solidFill>
                              <a:ln w="9525">
                                <a:noFill/>
                                <a:round/>
                                <a:headEnd/>
                                <a:tailEnd/>
                              </a:ln>
                            </wps:spPr>
                            <wps:bodyPr>
                              <a:prstTxWarp prst="textNoShape">
                                <a:avLst/>
                              </a:prstTxWarp>
                            </wps:bodyPr>
                          </wps:wsp>
                          <wps:wsp>
                            <wps:cNvPr id="2047755339" name="Freeform 278"/>
                            <wps:cNvSpPr>
                              <a:spLocks/>
                            </wps:cNvSpPr>
                            <wps:spPr bwMode="auto">
                              <a:xfrm>
                                <a:off x="3554372" y="1150040"/>
                                <a:ext cx="60" cy="884"/>
                              </a:xfrm>
                              <a:custGeom>
                                <a:avLst/>
                                <a:gdLst/>
                                <a:ahLst/>
                                <a:cxnLst>
                                  <a:cxn ang="0">
                                    <a:pos x="0" y="1974"/>
                                  </a:cxn>
                                  <a:cxn ang="0">
                                    <a:pos x="0" y="50"/>
                                  </a:cxn>
                                  <a:cxn ang="0">
                                    <a:pos x="152" y="0"/>
                                  </a:cxn>
                                  <a:cxn ang="0">
                                    <a:pos x="152" y="1905"/>
                                  </a:cxn>
                                  <a:cxn ang="0">
                                    <a:pos x="0" y="1974"/>
                                  </a:cxn>
                                </a:cxnLst>
                                <a:rect l="0" t="0" r="r" b="b"/>
                                <a:pathLst>
                                  <a:path w="152" h="1974">
                                    <a:moveTo>
                                      <a:pt x="0" y="1974"/>
                                    </a:moveTo>
                                    <a:lnTo>
                                      <a:pt x="0" y="50"/>
                                    </a:lnTo>
                                    <a:lnTo>
                                      <a:pt x="152" y="0"/>
                                    </a:lnTo>
                                    <a:lnTo>
                                      <a:pt x="152" y="1905"/>
                                    </a:lnTo>
                                    <a:lnTo>
                                      <a:pt x="0" y="1974"/>
                                    </a:lnTo>
                                    <a:close/>
                                  </a:path>
                                </a:pathLst>
                              </a:custGeom>
                              <a:solidFill>
                                <a:srgbClr val="8B8989"/>
                              </a:solidFill>
                              <a:ln w="9525">
                                <a:noFill/>
                                <a:round/>
                                <a:headEnd/>
                                <a:tailEnd/>
                              </a:ln>
                            </wps:spPr>
                            <wps:bodyPr>
                              <a:prstTxWarp prst="textNoShape">
                                <a:avLst/>
                              </a:prstTxWarp>
                            </wps:bodyPr>
                          </wps:wsp>
                          <wps:wsp>
                            <wps:cNvPr id="2047755340" name="Freeform 279"/>
                            <wps:cNvSpPr>
                              <a:spLocks/>
                            </wps:cNvSpPr>
                            <wps:spPr bwMode="auto">
                              <a:xfrm>
                                <a:off x="3554403" y="1150029"/>
                                <a:ext cx="58" cy="879"/>
                              </a:xfrm>
                              <a:custGeom>
                                <a:avLst/>
                                <a:gdLst/>
                                <a:ahLst/>
                                <a:cxnLst>
                                  <a:cxn ang="0">
                                    <a:pos x="0" y="1963"/>
                                  </a:cxn>
                                  <a:cxn ang="0">
                                    <a:pos x="0" y="48"/>
                                  </a:cxn>
                                  <a:cxn ang="0">
                                    <a:pos x="151" y="0"/>
                                  </a:cxn>
                                  <a:cxn ang="0">
                                    <a:pos x="151" y="1896"/>
                                  </a:cxn>
                                  <a:cxn ang="0">
                                    <a:pos x="0" y="1963"/>
                                  </a:cxn>
                                </a:cxnLst>
                                <a:rect l="0" t="0" r="r" b="b"/>
                                <a:pathLst>
                                  <a:path w="151" h="1963">
                                    <a:moveTo>
                                      <a:pt x="0" y="1963"/>
                                    </a:moveTo>
                                    <a:lnTo>
                                      <a:pt x="0" y="48"/>
                                    </a:lnTo>
                                    <a:lnTo>
                                      <a:pt x="151" y="0"/>
                                    </a:lnTo>
                                    <a:lnTo>
                                      <a:pt x="151" y="1896"/>
                                    </a:lnTo>
                                    <a:lnTo>
                                      <a:pt x="0" y="1963"/>
                                    </a:lnTo>
                                    <a:close/>
                                  </a:path>
                                </a:pathLst>
                              </a:custGeom>
                              <a:solidFill>
                                <a:srgbClr val="8A8988"/>
                              </a:solidFill>
                              <a:ln w="9525">
                                <a:noFill/>
                                <a:round/>
                                <a:headEnd/>
                                <a:tailEnd/>
                              </a:ln>
                            </wps:spPr>
                            <wps:bodyPr>
                              <a:prstTxWarp prst="textNoShape">
                                <a:avLst/>
                              </a:prstTxWarp>
                            </wps:bodyPr>
                          </wps:wsp>
                          <wps:wsp>
                            <wps:cNvPr id="2047755341" name="Freeform 280"/>
                            <wps:cNvSpPr>
                              <a:spLocks/>
                            </wps:cNvSpPr>
                            <wps:spPr bwMode="auto">
                              <a:xfrm>
                                <a:off x="3554432" y="1150017"/>
                                <a:ext cx="59" cy="876"/>
                              </a:xfrm>
                              <a:custGeom>
                                <a:avLst/>
                                <a:gdLst/>
                                <a:ahLst/>
                                <a:cxnLst>
                                  <a:cxn ang="0">
                                    <a:pos x="0" y="1955"/>
                                  </a:cxn>
                                  <a:cxn ang="0">
                                    <a:pos x="0" y="50"/>
                                  </a:cxn>
                                  <a:cxn ang="0">
                                    <a:pos x="150" y="0"/>
                                  </a:cxn>
                                  <a:cxn ang="0">
                                    <a:pos x="150" y="1888"/>
                                  </a:cxn>
                                  <a:cxn ang="0">
                                    <a:pos x="0" y="1955"/>
                                  </a:cxn>
                                </a:cxnLst>
                                <a:rect l="0" t="0" r="r" b="b"/>
                                <a:pathLst>
                                  <a:path w="150" h="1955">
                                    <a:moveTo>
                                      <a:pt x="0" y="1955"/>
                                    </a:moveTo>
                                    <a:lnTo>
                                      <a:pt x="0" y="50"/>
                                    </a:lnTo>
                                    <a:lnTo>
                                      <a:pt x="150" y="0"/>
                                    </a:lnTo>
                                    <a:lnTo>
                                      <a:pt x="150" y="1888"/>
                                    </a:lnTo>
                                    <a:lnTo>
                                      <a:pt x="0" y="1955"/>
                                    </a:lnTo>
                                    <a:close/>
                                  </a:path>
                                </a:pathLst>
                              </a:custGeom>
                              <a:solidFill>
                                <a:srgbClr val="898887"/>
                              </a:solidFill>
                              <a:ln w="9525">
                                <a:noFill/>
                                <a:round/>
                                <a:headEnd/>
                                <a:tailEnd/>
                              </a:ln>
                            </wps:spPr>
                            <wps:bodyPr>
                              <a:prstTxWarp prst="textNoShape">
                                <a:avLst/>
                              </a:prstTxWarp>
                            </wps:bodyPr>
                          </wps:wsp>
                          <wps:wsp>
                            <wps:cNvPr id="2047755342" name="Freeform 281"/>
                            <wps:cNvSpPr>
                              <a:spLocks/>
                            </wps:cNvSpPr>
                            <wps:spPr bwMode="auto">
                              <a:xfrm>
                                <a:off x="3554461" y="1150006"/>
                                <a:ext cx="59" cy="873"/>
                              </a:xfrm>
                              <a:custGeom>
                                <a:avLst/>
                                <a:gdLst/>
                                <a:ahLst/>
                                <a:cxnLst>
                                  <a:cxn ang="0">
                                    <a:pos x="0" y="1946"/>
                                  </a:cxn>
                                  <a:cxn ang="0">
                                    <a:pos x="0" y="50"/>
                                  </a:cxn>
                                  <a:cxn ang="0">
                                    <a:pos x="151" y="0"/>
                                  </a:cxn>
                                  <a:cxn ang="0">
                                    <a:pos x="151" y="1879"/>
                                  </a:cxn>
                                  <a:cxn ang="0">
                                    <a:pos x="0" y="1946"/>
                                  </a:cxn>
                                </a:cxnLst>
                                <a:rect l="0" t="0" r="r" b="b"/>
                                <a:pathLst>
                                  <a:path w="151" h="1946">
                                    <a:moveTo>
                                      <a:pt x="0" y="1946"/>
                                    </a:moveTo>
                                    <a:lnTo>
                                      <a:pt x="0" y="50"/>
                                    </a:lnTo>
                                    <a:lnTo>
                                      <a:pt x="151" y="0"/>
                                    </a:lnTo>
                                    <a:lnTo>
                                      <a:pt x="151" y="1879"/>
                                    </a:lnTo>
                                    <a:lnTo>
                                      <a:pt x="0" y="1946"/>
                                    </a:lnTo>
                                    <a:close/>
                                  </a:path>
                                </a:pathLst>
                              </a:custGeom>
                              <a:solidFill>
                                <a:srgbClr val="888787"/>
                              </a:solidFill>
                              <a:ln w="9525">
                                <a:noFill/>
                                <a:round/>
                                <a:headEnd/>
                                <a:tailEnd/>
                              </a:ln>
                            </wps:spPr>
                            <wps:bodyPr>
                              <a:prstTxWarp prst="textNoShape">
                                <a:avLst/>
                              </a:prstTxWarp>
                            </wps:bodyPr>
                          </wps:wsp>
                          <wps:wsp>
                            <wps:cNvPr id="2047755343" name="Freeform 282"/>
                            <wps:cNvSpPr>
                              <a:spLocks/>
                            </wps:cNvSpPr>
                            <wps:spPr bwMode="auto">
                              <a:xfrm>
                                <a:off x="3554491" y="1149996"/>
                                <a:ext cx="58" cy="868"/>
                              </a:xfrm>
                              <a:custGeom>
                                <a:avLst/>
                                <a:gdLst/>
                                <a:ahLst/>
                                <a:cxnLst>
                                  <a:cxn ang="0">
                                    <a:pos x="0" y="1936"/>
                                  </a:cxn>
                                  <a:cxn ang="0">
                                    <a:pos x="0" y="48"/>
                                  </a:cxn>
                                  <a:cxn ang="0">
                                    <a:pos x="151" y="0"/>
                                  </a:cxn>
                                  <a:cxn ang="0">
                                    <a:pos x="151" y="1869"/>
                                  </a:cxn>
                                  <a:cxn ang="0">
                                    <a:pos x="0" y="1936"/>
                                  </a:cxn>
                                </a:cxnLst>
                                <a:rect l="0" t="0" r="r" b="b"/>
                                <a:pathLst>
                                  <a:path w="151" h="1936">
                                    <a:moveTo>
                                      <a:pt x="0" y="1936"/>
                                    </a:moveTo>
                                    <a:lnTo>
                                      <a:pt x="0" y="48"/>
                                    </a:lnTo>
                                    <a:lnTo>
                                      <a:pt x="151" y="0"/>
                                    </a:lnTo>
                                    <a:lnTo>
                                      <a:pt x="151" y="1869"/>
                                    </a:lnTo>
                                    <a:lnTo>
                                      <a:pt x="0" y="1936"/>
                                    </a:lnTo>
                                    <a:close/>
                                  </a:path>
                                </a:pathLst>
                              </a:custGeom>
                              <a:solidFill>
                                <a:srgbClr val="888786"/>
                              </a:solidFill>
                              <a:ln w="9525">
                                <a:noFill/>
                                <a:round/>
                                <a:headEnd/>
                                <a:tailEnd/>
                              </a:ln>
                            </wps:spPr>
                            <wps:bodyPr>
                              <a:prstTxWarp prst="textNoShape">
                                <a:avLst/>
                              </a:prstTxWarp>
                            </wps:bodyPr>
                          </wps:wsp>
                          <wps:wsp>
                            <wps:cNvPr id="2047755344" name="Freeform 283"/>
                            <wps:cNvSpPr>
                              <a:spLocks/>
                            </wps:cNvSpPr>
                            <wps:spPr bwMode="auto">
                              <a:xfrm>
                                <a:off x="3554520" y="1149985"/>
                                <a:ext cx="59" cy="864"/>
                              </a:xfrm>
                              <a:custGeom>
                                <a:avLst/>
                                <a:gdLst/>
                                <a:ahLst/>
                                <a:cxnLst>
                                  <a:cxn ang="0">
                                    <a:pos x="0" y="1928"/>
                                  </a:cxn>
                                  <a:cxn ang="0">
                                    <a:pos x="0" y="49"/>
                                  </a:cxn>
                                  <a:cxn ang="0">
                                    <a:pos x="150" y="0"/>
                                  </a:cxn>
                                  <a:cxn ang="0">
                                    <a:pos x="150" y="1861"/>
                                  </a:cxn>
                                  <a:cxn ang="0">
                                    <a:pos x="0" y="1928"/>
                                  </a:cxn>
                                </a:cxnLst>
                                <a:rect l="0" t="0" r="r" b="b"/>
                                <a:pathLst>
                                  <a:path w="150" h="1928">
                                    <a:moveTo>
                                      <a:pt x="0" y="1928"/>
                                    </a:moveTo>
                                    <a:lnTo>
                                      <a:pt x="0" y="49"/>
                                    </a:lnTo>
                                    <a:lnTo>
                                      <a:pt x="150" y="0"/>
                                    </a:lnTo>
                                    <a:lnTo>
                                      <a:pt x="150" y="1861"/>
                                    </a:lnTo>
                                    <a:lnTo>
                                      <a:pt x="0" y="1928"/>
                                    </a:lnTo>
                                    <a:close/>
                                  </a:path>
                                </a:pathLst>
                              </a:custGeom>
                              <a:solidFill>
                                <a:srgbClr val="878685"/>
                              </a:solidFill>
                              <a:ln w="9525">
                                <a:noFill/>
                                <a:round/>
                                <a:headEnd/>
                                <a:tailEnd/>
                              </a:ln>
                            </wps:spPr>
                            <wps:bodyPr>
                              <a:prstTxWarp prst="textNoShape">
                                <a:avLst/>
                              </a:prstTxWarp>
                            </wps:bodyPr>
                          </wps:wsp>
                          <wps:wsp>
                            <wps:cNvPr id="2047755345" name="Freeform 284"/>
                            <wps:cNvSpPr>
                              <a:spLocks/>
                            </wps:cNvSpPr>
                            <wps:spPr bwMode="auto">
                              <a:xfrm>
                                <a:off x="3554549" y="1149974"/>
                                <a:ext cx="59" cy="859"/>
                              </a:xfrm>
                              <a:custGeom>
                                <a:avLst/>
                                <a:gdLst/>
                                <a:ahLst/>
                                <a:cxnLst>
                                  <a:cxn ang="0">
                                    <a:pos x="0" y="1918"/>
                                  </a:cxn>
                                  <a:cxn ang="0">
                                    <a:pos x="0" y="49"/>
                                  </a:cxn>
                                  <a:cxn ang="0">
                                    <a:pos x="150" y="0"/>
                                  </a:cxn>
                                  <a:cxn ang="0">
                                    <a:pos x="150" y="1851"/>
                                  </a:cxn>
                                  <a:cxn ang="0">
                                    <a:pos x="0" y="1918"/>
                                  </a:cxn>
                                </a:cxnLst>
                                <a:rect l="0" t="0" r="r" b="b"/>
                                <a:pathLst>
                                  <a:path w="150" h="1918">
                                    <a:moveTo>
                                      <a:pt x="0" y="1918"/>
                                    </a:moveTo>
                                    <a:lnTo>
                                      <a:pt x="0" y="49"/>
                                    </a:lnTo>
                                    <a:lnTo>
                                      <a:pt x="150" y="0"/>
                                    </a:lnTo>
                                    <a:lnTo>
                                      <a:pt x="150" y="1851"/>
                                    </a:lnTo>
                                    <a:lnTo>
                                      <a:pt x="0" y="1918"/>
                                    </a:lnTo>
                                    <a:close/>
                                  </a:path>
                                </a:pathLst>
                              </a:custGeom>
                              <a:solidFill>
                                <a:srgbClr val="868585"/>
                              </a:solidFill>
                              <a:ln w="9525">
                                <a:noFill/>
                                <a:round/>
                                <a:headEnd/>
                                <a:tailEnd/>
                              </a:ln>
                            </wps:spPr>
                            <wps:bodyPr>
                              <a:prstTxWarp prst="textNoShape">
                                <a:avLst/>
                              </a:prstTxWarp>
                            </wps:bodyPr>
                          </wps:wsp>
                          <wps:wsp>
                            <wps:cNvPr id="2047755346" name="Freeform 285"/>
                            <wps:cNvSpPr>
                              <a:spLocks/>
                            </wps:cNvSpPr>
                            <wps:spPr bwMode="auto">
                              <a:xfrm>
                                <a:off x="3554579" y="1149963"/>
                                <a:ext cx="59" cy="855"/>
                              </a:xfrm>
                              <a:custGeom>
                                <a:avLst/>
                                <a:gdLst/>
                                <a:ahLst/>
                                <a:cxnLst>
                                  <a:cxn ang="0">
                                    <a:pos x="0" y="1910"/>
                                  </a:cxn>
                                  <a:cxn ang="0">
                                    <a:pos x="0" y="49"/>
                                  </a:cxn>
                                  <a:cxn ang="0">
                                    <a:pos x="152" y="0"/>
                                  </a:cxn>
                                  <a:cxn ang="0">
                                    <a:pos x="152" y="1841"/>
                                  </a:cxn>
                                  <a:cxn ang="0">
                                    <a:pos x="0" y="1910"/>
                                  </a:cxn>
                                </a:cxnLst>
                                <a:rect l="0" t="0" r="r" b="b"/>
                                <a:pathLst>
                                  <a:path w="152" h="1910">
                                    <a:moveTo>
                                      <a:pt x="0" y="1910"/>
                                    </a:moveTo>
                                    <a:lnTo>
                                      <a:pt x="0" y="49"/>
                                    </a:lnTo>
                                    <a:lnTo>
                                      <a:pt x="152" y="0"/>
                                    </a:lnTo>
                                    <a:lnTo>
                                      <a:pt x="152" y="1841"/>
                                    </a:lnTo>
                                    <a:lnTo>
                                      <a:pt x="0" y="1910"/>
                                    </a:lnTo>
                                    <a:close/>
                                  </a:path>
                                </a:pathLst>
                              </a:custGeom>
                              <a:solidFill>
                                <a:srgbClr val="868484"/>
                              </a:solidFill>
                              <a:ln w="9525">
                                <a:noFill/>
                                <a:round/>
                                <a:headEnd/>
                                <a:tailEnd/>
                              </a:ln>
                            </wps:spPr>
                            <wps:bodyPr>
                              <a:prstTxWarp prst="textNoShape">
                                <a:avLst/>
                              </a:prstTxWarp>
                            </wps:bodyPr>
                          </wps:wsp>
                          <wps:wsp>
                            <wps:cNvPr id="2047755347" name="Freeform 286"/>
                            <wps:cNvSpPr>
                              <a:spLocks/>
                            </wps:cNvSpPr>
                            <wps:spPr bwMode="auto">
                              <a:xfrm>
                                <a:off x="3554608" y="1149951"/>
                                <a:ext cx="60" cy="852"/>
                              </a:xfrm>
                              <a:custGeom>
                                <a:avLst/>
                                <a:gdLst/>
                                <a:ahLst/>
                                <a:cxnLst>
                                  <a:cxn ang="0">
                                    <a:pos x="0" y="1901"/>
                                  </a:cxn>
                                  <a:cxn ang="0">
                                    <a:pos x="0" y="50"/>
                                  </a:cxn>
                                  <a:cxn ang="0">
                                    <a:pos x="152" y="0"/>
                                  </a:cxn>
                                  <a:cxn ang="0">
                                    <a:pos x="152" y="1833"/>
                                  </a:cxn>
                                  <a:cxn ang="0">
                                    <a:pos x="0" y="1901"/>
                                  </a:cxn>
                                </a:cxnLst>
                                <a:rect l="0" t="0" r="r" b="b"/>
                                <a:pathLst>
                                  <a:path w="152" h="1901">
                                    <a:moveTo>
                                      <a:pt x="0" y="1901"/>
                                    </a:moveTo>
                                    <a:lnTo>
                                      <a:pt x="0" y="50"/>
                                    </a:lnTo>
                                    <a:lnTo>
                                      <a:pt x="152" y="0"/>
                                    </a:lnTo>
                                    <a:lnTo>
                                      <a:pt x="152" y="1833"/>
                                    </a:lnTo>
                                    <a:lnTo>
                                      <a:pt x="0" y="1901"/>
                                    </a:lnTo>
                                    <a:close/>
                                  </a:path>
                                </a:pathLst>
                              </a:custGeom>
                              <a:solidFill>
                                <a:srgbClr val="858483"/>
                              </a:solidFill>
                              <a:ln w="9525">
                                <a:noFill/>
                                <a:round/>
                                <a:headEnd/>
                                <a:tailEnd/>
                              </a:ln>
                            </wps:spPr>
                            <wps:bodyPr>
                              <a:prstTxWarp prst="textNoShape">
                                <a:avLst/>
                              </a:prstTxWarp>
                            </wps:bodyPr>
                          </wps:wsp>
                          <wps:wsp>
                            <wps:cNvPr id="2047755348" name="Freeform 287"/>
                            <wps:cNvSpPr>
                              <a:spLocks/>
                            </wps:cNvSpPr>
                            <wps:spPr bwMode="auto">
                              <a:xfrm>
                                <a:off x="3554638" y="1149940"/>
                                <a:ext cx="59" cy="847"/>
                              </a:xfrm>
                              <a:custGeom>
                                <a:avLst/>
                                <a:gdLst/>
                                <a:ahLst/>
                                <a:cxnLst>
                                  <a:cxn ang="0">
                                    <a:pos x="0" y="1890"/>
                                  </a:cxn>
                                  <a:cxn ang="0">
                                    <a:pos x="0" y="49"/>
                                  </a:cxn>
                                  <a:cxn ang="0">
                                    <a:pos x="150" y="0"/>
                                  </a:cxn>
                                  <a:cxn ang="0">
                                    <a:pos x="150" y="1823"/>
                                  </a:cxn>
                                  <a:cxn ang="0">
                                    <a:pos x="0" y="1890"/>
                                  </a:cxn>
                                </a:cxnLst>
                                <a:rect l="0" t="0" r="r" b="b"/>
                                <a:pathLst>
                                  <a:path w="150" h="1890">
                                    <a:moveTo>
                                      <a:pt x="0" y="1890"/>
                                    </a:moveTo>
                                    <a:lnTo>
                                      <a:pt x="0" y="49"/>
                                    </a:lnTo>
                                    <a:lnTo>
                                      <a:pt x="150" y="0"/>
                                    </a:lnTo>
                                    <a:lnTo>
                                      <a:pt x="150" y="1823"/>
                                    </a:lnTo>
                                    <a:lnTo>
                                      <a:pt x="0" y="1890"/>
                                    </a:lnTo>
                                    <a:close/>
                                  </a:path>
                                </a:pathLst>
                              </a:custGeom>
                              <a:solidFill>
                                <a:srgbClr val="848382"/>
                              </a:solidFill>
                              <a:ln w="9525">
                                <a:noFill/>
                                <a:round/>
                                <a:headEnd/>
                                <a:tailEnd/>
                              </a:ln>
                            </wps:spPr>
                            <wps:bodyPr>
                              <a:prstTxWarp prst="textNoShape">
                                <a:avLst/>
                              </a:prstTxWarp>
                            </wps:bodyPr>
                          </wps:wsp>
                          <wps:wsp>
                            <wps:cNvPr id="2047755349" name="Freeform 288"/>
                            <wps:cNvSpPr>
                              <a:spLocks/>
                            </wps:cNvSpPr>
                            <wps:spPr bwMode="auto">
                              <a:xfrm>
                                <a:off x="3554668" y="1149940"/>
                                <a:ext cx="29" cy="832"/>
                              </a:xfrm>
                              <a:custGeom>
                                <a:avLst/>
                                <a:gdLst/>
                                <a:ahLst/>
                                <a:cxnLst>
                                  <a:cxn ang="0">
                                    <a:pos x="0" y="1857"/>
                                  </a:cxn>
                                  <a:cxn ang="0">
                                    <a:pos x="0" y="24"/>
                                  </a:cxn>
                                  <a:cxn ang="0">
                                    <a:pos x="75" y="0"/>
                                  </a:cxn>
                                  <a:cxn ang="0">
                                    <a:pos x="75" y="1823"/>
                                  </a:cxn>
                                  <a:cxn ang="0">
                                    <a:pos x="0" y="1857"/>
                                  </a:cxn>
                                </a:cxnLst>
                                <a:rect l="0" t="0" r="r" b="b"/>
                                <a:pathLst>
                                  <a:path w="75" h="1857">
                                    <a:moveTo>
                                      <a:pt x="0" y="1857"/>
                                    </a:moveTo>
                                    <a:lnTo>
                                      <a:pt x="0" y="24"/>
                                    </a:lnTo>
                                    <a:lnTo>
                                      <a:pt x="75" y="0"/>
                                    </a:lnTo>
                                    <a:lnTo>
                                      <a:pt x="75" y="1823"/>
                                    </a:lnTo>
                                    <a:lnTo>
                                      <a:pt x="0" y="1857"/>
                                    </a:lnTo>
                                    <a:close/>
                                  </a:path>
                                </a:pathLst>
                              </a:custGeom>
                              <a:solidFill>
                                <a:srgbClr val="838281"/>
                              </a:solidFill>
                              <a:ln w="9525">
                                <a:noFill/>
                                <a:round/>
                                <a:headEnd/>
                                <a:tailEnd/>
                              </a:ln>
                            </wps:spPr>
                            <wps:bodyPr>
                              <a:prstTxWarp prst="textNoShape">
                                <a:avLst/>
                              </a:prstTxWarp>
                            </wps:bodyPr>
                          </wps:wsp>
                          <wps:wsp>
                            <wps:cNvPr id="2047755350" name="Freeform 289"/>
                            <wps:cNvSpPr>
                              <a:spLocks/>
                            </wps:cNvSpPr>
                            <wps:spPr bwMode="auto">
                              <a:xfrm>
                                <a:off x="3553223" y="1149940"/>
                                <a:ext cx="1474" cy="1573"/>
                              </a:xfrm>
                              <a:custGeom>
                                <a:avLst/>
                                <a:gdLst/>
                                <a:ahLst/>
                                <a:cxnLst>
                                  <a:cxn ang="0">
                                    <a:pos x="0" y="3509"/>
                                  </a:cxn>
                                  <a:cxn ang="0">
                                    <a:pos x="3772" y="1823"/>
                                  </a:cxn>
                                  <a:cxn ang="0">
                                    <a:pos x="3772" y="0"/>
                                  </a:cxn>
                                  <a:cxn ang="0">
                                    <a:pos x="0" y="1228"/>
                                  </a:cxn>
                                  <a:cxn ang="0">
                                    <a:pos x="0" y="3509"/>
                                  </a:cxn>
                                </a:cxnLst>
                                <a:rect l="0" t="0" r="r" b="b"/>
                                <a:pathLst>
                                  <a:path w="3772" h="3509">
                                    <a:moveTo>
                                      <a:pt x="0" y="3509"/>
                                    </a:moveTo>
                                    <a:lnTo>
                                      <a:pt x="3772" y="1823"/>
                                    </a:lnTo>
                                    <a:lnTo>
                                      <a:pt x="3772" y="0"/>
                                    </a:lnTo>
                                    <a:lnTo>
                                      <a:pt x="0" y="1228"/>
                                    </a:lnTo>
                                    <a:lnTo>
                                      <a:pt x="0" y="3509"/>
                                    </a:lnTo>
                                    <a:close/>
                                  </a:path>
                                </a:pathLst>
                              </a:custGeom>
                              <a:solidFill>
                                <a:schemeClr val="bg1">
                                  <a:lumMod val="75000"/>
                                </a:schemeClr>
                              </a:solidFill>
                              <a:ln w="6350">
                                <a:solidFill>
                                  <a:srgbClr val="1F1A17"/>
                                </a:solidFill>
                                <a:prstDash val="solid"/>
                                <a:round/>
                                <a:headEnd/>
                                <a:tailEnd/>
                              </a:ln>
                            </wps:spPr>
                            <wps:bodyPr>
                              <a:prstTxWarp prst="textNoShape">
                                <a:avLst/>
                              </a:prstTxWarp>
                            </wps:bodyPr>
                          </wps:wsp>
                          <wps:wsp>
                            <wps:cNvPr id="2047755351" name="Freeform 290"/>
                            <wps:cNvSpPr>
                              <a:spLocks/>
                            </wps:cNvSpPr>
                            <wps:spPr bwMode="auto">
                              <a:xfrm>
                                <a:off x="3551652" y="1149754"/>
                                <a:ext cx="1571" cy="1759"/>
                              </a:xfrm>
                              <a:custGeom>
                                <a:avLst/>
                                <a:gdLst/>
                                <a:ahLst/>
                                <a:cxnLst>
                                  <a:cxn ang="0">
                                    <a:pos x="4018" y="1647"/>
                                  </a:cxn>
                                  <a:cxn ang="0">
                                    <a:pos x="0" y="0"/>
                                  </a:cxn>
                                  <a:cxn ang="0">
                                    <a:pos x="1620" y="2958"/>
                                  </a:cxn>
                                  <a:cxn ang="0">
                                    <a:pos x="4018" y="3928"/>
                                  </a:cxn>
                                  <a:cxn ang="0">
                                    <a:pos x="4018" y="1647"/>
                                  </a:cxn>
                                </a:cxnLst>
                                <a:rect l="0" t="0" r="r" b="b"/>
                                <a:pathLst>
                                  <a:path w="4018" h="3928">
                                    <a:moveTo>
                                      <a:pt x="4018" y="1647"/>
                                    </a:moveTo>
                                    <a:lnTo>
                                      <a:pt x="0" y="0"/>
                                    </a:lnTo>
                                    <a:lnTo>
                                      <a:pt x="1620" y="2958"/>
                                    </a:lnTo>
                                    <a:lnTo>
                                      <a:pt x="4018" y="3928"/>
                                    </a:lnTo>
                                    <a:lnTo>
                                      <a:pt x="4018" y="1647"/>
                                    </a:lnTo>
                                    <a:close/>
                                  </a:path>
                                </a:pathLst>
                              </a:custGeom>
                              <a:solidFill>
                                <a:srgbClr val="AAA9A9"/>
                              </a:solidFill>
                              <a:ln w="9525">
                                <a:noFill/>
                                <a:round/>
                                <a:headEnd/>
                                <a:tailEnd/>
                              </a:ln>
                            </wps:spPr>
                            <wps:bodyPr>
                              <a:prstTxWarp prst="textNoShape">
                                <a:avLst/>
                              </a:prstTxWarp>
                            </wps:bodyPr>
                          </wps:wsp>
                        </wpg:grpSp>
                        <wps:wsp>
                          <wps:cNvPr id="2047755352" name="Freeform 291"/>
                          <wps:cNvSpPr>
                            <a:spLocks/>
                          </wps:cNvSpPr>
                          <wps:spPr bwMode="auto">
                            <a:xfrm>
                              <a:off x="3551652" y="1149754"/>
                              <a:ext cx="1571" cy="1759"/>
                            </a:xfrm>
                            <a:custGeom>
                              <a:avLst/>
                              <a:gdLst/>
                              <a:ahLst/>
                              <a:cxnLst>
                                <a:cxn ang="0">
                                  <a:pos x="4018" y="1647"/>
                                </a:cxn>
                                <a:cxn ang="0">
                                  <a:pos x="0" y="0"/>
                                </a:cxn>
                                <a:cxn ang="0">
                                  <a:pos x="1620" y="2958"/>
                                </a:cxn>
                                <a:cxn ang="0">
                                  <a:pos x="4018" y="3928"/>
                                </a:cxn>
                                <a:cxn ang="0">
                                  <a:pos x="4018" y="1647"/>
                                </a:cxn>
                              </a:cxnLst>
                              <a:rect l="0" t="0" r="r" b="b"/>
                              <a:pathLst>
                                <a:path w="4018" h="3928">
                                  <a:moveTo>
                                    <a:pt x="4018" y="1647"/>
                                  </a:moveTo>
                                  <a:lnTo>
                                    <a:pt x="0" y="0"/>
                                  </a:lnTo>
                                  <a:lnTo>
                                    <a:pt x="1620" y="2958"/>
                                  </a:lnTo>
                                  <a:lnTo>
                                    <a:pt x="4018" y="3928"/>
                                  </a:lnTo>
                                  <a:lnTo>
                                    <a:pt x="4018" y="1647"/>
                                  </a:lnTo>
                                  <a:close/>
                                </a:path>
                              </a:pathLst>
                            </a:custGeom>
                            <a:solidFill>
                              <a:schemeClr val="bg1">
                                <a:lumMod val="75000"/>
                              </a:schemeClr>
                            </a:solidFill>
                            <a:ln w="6350">
                              <a:solidFill>
                                <a:srgbClr val="1F1A17"/>
                              </a:solidFill>
                              <a:prstDash val="solid"/>
                              <a:round/>
                              <a:headEnd/>
                              <a:tailEnd/>
                            </a:ln>
                          </wps:spPr>
                          <wps:bodyPr>
                            <a:prstTxWarp prst="textNoShape">
                              <a:avLst/>
                            </a:prstTxWarp>
                          </wps:bodyPr>
                        </wps:wsp>
                      </wpg:grpSp>
                      <wpg:grpSp>
                        <wpg:cNvPr id="2047755353" name="Group 2047755353"/>
                        <wpg:cNvGrpSpPr>
                          <a:grpSpLocks/>
                        </wpg:cNvGrpSpPr>
                        <wpg:grpSpPr bwMode="auto">
                          <a:xfrm>
                            <a:off x="2001414" y="697732"/>
                            <a:ext cx="2756826" cy="1401764"/>
                            <a:chOff x="1813050" y="481151"/>
                            <a:chExt cx="1603" cy="883"/>
                          </a:xfrm>
                        </wpg:grpSpPr>
                        <wps:wsp>
                          <wps:cNvPr id="2047755354" name="Line 309"/>
                          <wps:cNvCnPr/>
                          <wps:spPr bwMode="auto">
                            <a:xfrm>
                              <a:off x="1813094" y="481444"/>
                              <a:ext cx="859" cy="404"/>
                            </a:xfrm>
                            <a:prstGeom prst="line">
                              <a:avLst/>
                            </a:prstGeom>
                            <a:noFill/>
                            <a:ln w="9525">
                              <a:solidFill>
                                <a:schemeClr val="tx1"/>
                              </a:solidFill>
                              <a:round/>
                              <a:headEnd/>
                              <a:tailEnd type="triangle" w="med" len="med"/>
                            </a:ln>
                            <a:effectLst/>
                          </wps:spPr>
                          <wps:bodyPr/>
                        </wps:wsp>
                        <wps:wsp>
                          <wps:cNvPr id="2047755355" name="Line 310"/>
                          <wps:cNvCnPr/>
                          <wps:spPr bwMode="auto">
                            <a:xfrm>
                              <a:off x="1813875" y="481263"/>
                              <a:ext cx="308" cy="526"/>
                            </a:xfrm>
                            <a:prstGeom prst="line">
                              <a:avLst/>
                            </a:prstGeom>
                            <a:noFill/>
                            <a:ln w="9525">
                              <a:solidFill>
                                <a:schemeClr val="tx1"/>
                              </a:solidFill>
                              <a:round/>
                              <a:headEnd/>
                              <a:tailEnd type="triangle" w="med" len="med"/>
                            </a:ln>
                            <a:effectLst/>
                          </wps:spPr>
                          <wps:bodyPr/>
                        </wps:wsp>
                        <wps:wsp>
                          <wps:cNvPr id="2047755356" name="Line 311"/>
                          <wps:cNvCnPr/>
                          <wps:spPr bwMode="auto">
                            <a:xfrm>
                              <a:off x="1813884" y="481263"/>
                              <a:ext cx="290" cy="59"/>
                            </a:xfrm>
                            <a:prstGeom prst="line">
                              <a:avLst/>
                            </a:prstGeom>
                            <a:noFill/>
                            <a:ln w="9525">
                              <a:solidFill>
                                <a:schemeClr val="tx1"/>
                              </a:solidFill>
                              <a:round/>
                              <a:headEnd/>
                              <a:tailEnd/>
                            </a:ln>
                            <a:effectLst/>
                          </wps:spPr>
                          <wps:bodyPr/>
                        </wps:wsp>
                        <wps:wsp>
                          <wps:cNvPr id="2047755357" name="Line 312"/>
                          <wps:cNvCnPr/>
                          <wps:spPr bwMode="auto">
                            <a:xfrm>
                              <a:off x="1814178" y="481322"/>
                              <a:ext cx="0" cy="467"/>
                            </a:xfrm>
                            <a:prstGeom prst="line">
                              <a:avLst/>
                            </a:prstGeom>
                            <a:noFill/>
                            <a:ln w="9525">
                              <a:solidFill>
                                <a:schemeClr val="tx1"/>
                              </a:solidFill>
                              <a:round/>
                              <a:headEnd/>
                              <a:tailEnd/>
                            </a:ln>
                            <a:effectLst/>
                          </wps:spPr>
                          <wps:bodyPr/>
                        </wps:wsp>
                        <wps:wsp>
                          <wps:cNvPr id="2047755358" name="Line 313"/>
                          <wps:cNvCnPr/>
                          <wps:spPr bwMode="auto">
                            <a:xfrm>
                              <a:off x="1813880" y="481263"/>
                              <a:ext cx="294" cy="59"/>
                            </a:xfrm>
                            <a:prstGeom prst="line">
                              <a:avLst/>
                            </a:prstGeom>
                            <a:noFill/>
                            <a:ln w="9525">
                              <a:solidFill>
                                <a:schemeClr val="tx1"/>
                              </a:solidFill>
                              <a:round/>
                              <a:headEnd/>
                              <a:tailEnd type="triangle" w="med" len="med"/>
                            </a:ln>
                            <a:effectLst/>
                          </wps:spPr>
                          <wps:bodyPr/>
                        </wps:wsp>
                        <wps:wsp>
                          <wps:cNvPr id="2047755359" name="Line 314"/>
                          <wps:cNvCnPr/>
                          <wps:spPr bwMode="auto">
                            <a:xfrm>
                              <a:off x="1814174" y="481327"/>
                              <a:ext cx="4" cy="462"/>
                            </a:xfrm>
                            <a:prstGeom prst="line">
                              <a:avLst/>
                            </a:prstGeom>
                            <a:noFill/>
                            <a:ln w="9525">
                              <a:solidFill>
                                <a:schemeClr val="tx1"/>
                              </a:solidFill>
                              <a:round/>
                              <a:headEnd/>
                              <a:tailEnd type="triangle" w="med" len="med"/>
                            </a:ln>
                            <a:effectLst/>
                          </wps:spPr>
                          <wps:bodyPr/>
                        </wps:wsp>
                        <wps:wsp>
                          <wps:cNvPr id="2047755360" name="Text Box 315"/>
                          <wps:cNvSpPr txBox="1">
                            <a:spLocks noChangeArrowheads="1"/>
                          </wps:cNvSpPr>
                          <wps:spPr bwMode="auto">
                            <a:xfrm rot="1454317">
                              <a:off x="1813235" y="481606"/>
                              <a:ext cx="636" cy="428"/>
                            </a:xfrm>
                            <a:prstGeom prst="rect">
                              <a:avLst/>
                            </a:prstGeom>
                            <a:noFill/>
                            <a:ln w="9525">
                              <a:noFill/>
                              <a:miter lim="800000"/>
                              <a:headEnd/>
                              <a:tailEnd/>
                            </a:ln>
                            <a:effectLst/>
                          </wps:spPr>
                          <wps:txbx>
                            <w:txbxContent>
                              <w:p w14:paraId="3DB99B9A" w14:textId="77777777" w:rsidR="005863E1" w:rsidRDefault="005863E1" w:rsidP="007E2D6E">
                                <w:pPr>
                                  <w:jc w:val="center"/>
                                  <w:textAlignment w:val="baseline"/>
                                </w:pPr>
                                <w:r>
                                  <w:rPr>
                                    <w:rFonts w:ascii="Arial" w:hAnsi="Arial"/>
                                    <w:color w:val="000000" w:themeColor="text1"/>
                                    <w:kern w:val="24"/>
                                    <w:sz w:val="14"/>
                                    <w:szCs w:val="14"/>
                                    <w:lang w:val="en-US"/>
                                  </w:rPr>
                                  <w:t>Net Slip</w:t>
                                </w:r>
                              </w:p>
                            </w:txbxContent>
                          </wps:txbx>
                          <wps:bodyPr wrap="none">
                            <a:prstTxWarp prst="textNoShape">
                              <a:avLst/>
                            </a:prstTxWarp>
                            <a:spAutoFit/>
                          </wps:bodyPr>
                        </wps:wsp>
                        <wps:wsp>
                          <wps:cNvPr id="2047755361" name="Text Box 316"/>
                          <wps:cNvSpPr txBox="1">
                            <a:spLocks noChangeArrowheads="1"/>
                          </wps:cNvSpPr>
                          <wps:spPr bwMode="auto">
                            <a:xfrm rot="20966894">
                              <a:off x="1813050" y="481151"/>
                              <a:ext cx="748" cy="428"/>
                            </a:xfrm>
                            <a:prstGeom prst="rect">
                              <a:avLst/>
                            </a:prstGeom>
                            <a:noFill/>
                            <a:ln w="9525">
                              <a:noFill/>
                              <a:miter lim="800000"/>
                              <a:headEnd/>
                              <a:tailEnd/>
                            </a:ln>
                            <a:effectLst/>
                          </wps:spPr>
                          <wps:txbx>
                            <w:txbxContent>
                              <w:p w14:paraId="14932DA7" w14:textId="77777777" w:rsidR="005863E1" w:rsidRDefault="005863E1" w:rsidP="007E2D6E">
                                <w:pPr>
                                  <w:jc w:val="center"/>
                                  <w:textAlignment w:val="baseline"/>
                                </w:pPr>
                                <w:r>
                                  <w:rPr>
                                    <w:rFonts w:ascii="Arial" w:hAnsi="Arial"/>
                                    <w:color w:val="000000" w:themeColor="text1"/>
                                    <w:kern w:val="24"/>
                                    <w:sz w:val="14"/>
                                    <w:szCs w:val="14"/>
                                    <w:lang w:val="en-US"/>
                                  </w:rPr>
                                  <w:t>Strike Slip</w:t>
                                </w:r>
                              </w:p>
                            </w:txbxContent>
                          </wps:txbx>
                          <wps:bodyPr wrap="none">
                            <a:prstTxWarp prst="textNoShape">
                              <a:avLst/>
                            </a:prstTxWarp>
                            <a:spAutoFit/>
                          </wps:bodyPr>
                        </wps:wsp>
                        <wps:wsp>
                          <wps:cNvPr id="2047755362" name="Line 318"/>
                          <wps:cNvCnPr/>
                          <wps:spPr bwMode="auto">
                            <a:xfrm flipV="1">
                              <a:off x="1813103" y="481263"/>
                              <a:ext cx="781" cy="181"/>
                            </a:xfrm>
                            <a:prstGeom prst="line">
                              <a:avLst/>
                            </a:prstGeom>
                            <a:noFill/>
                            <a:ln w="9525">
                              <a:solidFill>
                                <a:schemeClr val="tx1"/>
                              </a:solidFill>
                              <a:round/>
                              <a:headEnd/>
                              <a:tailEnd type="triangle" w="med" len="med"/>
                            </a:ln>
                            <a:effectLst/>
                          </wps:spPr>
                          <wps:bodyPr/>
                        </wps:wsp>
                        <wps:wsp>
                          <wps:cNvPr id="2047755363" name="Text Box 320"/>
                          <wps:cNvSpPr txBox="1">
                            <a:spLocks noChangeArrowheads="1"/>
                          </wps:cNvSpPr>
                          <wps:spPr bwMode="auto">
                            <a:xfrm>
                              <a:off x="1814099" y="481387"/>
                              <a:ext cx="554" cy="449"/>
                            </a:xfrm>
                            <a:prstGeom prst="rect">
                              <a:avLst/>
                            </a:prstGeom>
                            <a:noFill/>
                            <a:ln w="9525">
                              <a:noFill/>
                              <a:miter lim="800000"/>
                              <a:headEnd/>
                              <a:tailEnd/>
                            </a:ln>
                            <a:effectLst/>
                          </wps:spPr>
                          <wps:txbx>
                            <w:txbxContent>
                              <w:p w14:paraId="6D4B16D0" w14:textId="77777777" w:rsidR="005863E1" w:rsidRPr="0087595A" w:rsidRDefault="005863E1" w:rsidP="007E2D6E">
                                <w:pPr>
                                  <w:jc w:val="center"/>
                                  <w:textAlignment w:val="baselin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7595A">
                                  <w:rPr>
                                    <w:rFonts w:ascii="Arial" w:hAnsi="Arial"/>
                                    <w:color w:val="000000" w:themeColor="text1"/>
                                    <w:kern w:val="24"/>
                                    <w:sz w:val="14"/>
                                    <w:szCs w:val="1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Throw</w:t>
                                </w:r>
                              </w:p>
                            </w:txbxContent>
                          </wps:txbx>
                          <wps:bodyPr wrap="none">
                            <a:prstTxWarp prst="textNoShape">
                              <a:avLst/>
                            </a:prstTxWarp>
                            <a:spAutoFit/>
                          </wps:bodyPr>
                        </wps:wsp>
                        <wps:wsp>
                          <wps:cNvPr id="2047755364" name="Text Box 321"/>
                          <wps:cNvSpPr txBox="1">
                            <a:spLocks noChangeArrowheads="1"/>
                          </wps:cNvSpPr>
                          <wps:spPr bwMode="auto">
                            <a:xfrm rot="3385265">
                              <a:off x="1813609" y="481397"/>
                              <a:ext cx="682" cy="395"/>
                            </a:xfrm>
                            <a:prstGeom prst="rect">
                              <a:avLst/>
                            </a:prstGeom>
                            <a:noFill/>
                            <a:ln w="9525">
                              <a:noFill/>
                              <a:miter lim="800000"/>
                              <a:headEnd/>
                              <a:tailEnd/>
                            </a:ln>
                            <a:effectLst/>
                          </wps:spPr>
                          <wps:txbx>
                            <w:txbxContent>
                              <w:p w14:paraId="74B71DC6" w14:textId="77777777" w:rsidR="005863E1" w:rsidRDefault="005863E1" w:rsidP="007E2D6E">
                                <w:pPr>
                                  <w:jc w:val="center"/>
                                  <w:textAlignment w:val="baseline"/>
                                </w:pPr>
                                <w:r>
                                  <w:rPr>
                                    <w:rFonts w:ascii="Arial" w:hAnsi="Arial"/>
                                    <w:color w:val="000000" w:themeColor="text1"/>
                                    <w:kern w:val="24"/>
                                    <w:sz w:val="14"/>
                                    <w:szCs w:val="14"/>
                                    <w:lang w:val="en-US"/>
                                  </w:rPr>
                                  <w:t>Dip Slip</w:t>
                                </w:r>
                              </w:p>
                            </w:txbxContent>
                          </wps:txbx>
                          <wps:bodyPr wrap="none">
                            <a:prstTxWarp prst="textNoShape">
                              <a:avLst/>
                            </a:prstTxWarp>
                            <a:spAutoFit/>
                          </wps:bodyPr>
                        </wps:wsp>
                      </wpg:grpSp>
                      <wps:wsp>
                        <wps:cNvPr id="2047755365" name="Text Box 316"/>
                        <wps:cNvSpPr txBox="1">
                          <a:spLocks noChangeArrowheads="1"/>
                        </wps:cNvSpPr>
                        <wps:spPr bwMode="auto">
                          <a:xfrm rot="20966894">
                            <a:off x="4559974" y="735382"/>
                            <a:ext cx="909949" cy="678744"/>
                          </a:xfrm>
                          <a:prstGeom prst="rect">
                            <a:avLst/>
                          </a:prstGeom>
                          <a:noFill/>
                          <a:ln w="9525">
                            <a:noFill/>
                            <a:miter lim="800000"/>
                            <a:headEnd/>
                            <a:tailEnd/>
                          </a:ln>
                          <a:effectLst/>
                        </wps:spPr>
                        <wps:txbx>
                          <w:txbxContent>
                            <w:p w14:paraId="2FFE2AA5" w14:textId="77777777" w:rsidR="005863E1" w:rsidRDefault="005863E1" w:rsidP="007E2D6E">
                              <w:pPr>
                                <w:jc w:val="center"/>
                                <w:textAlignment w:val="baseline"/>
                              </w:pPr>
                              <w:r>
                                <w:rPr>
                                  <w:rFonts w:ascii="Arial" w:hAnsi="Arial"/>
                                  <w:color w:val="000000" w:themeColor="text1"/>
                                  <w:kern w:val="24"/>
                                  <w:sz w:val="14"/>
                                  <w:szCs w:val="14"/>
                                  <w:lang w:val="en-US"/>
                                </w:rPr>
                                <w:t>Strike</w:t>
                              </w:r>
                            </w:p>
                          </w:txbxContent>
                        </wps:txbx>
                        <wps:bodyPr wrap="none">
                          <a:prstTxWarp prst="textNoShape">
                            <a:avLst/>
                          </a:prstTxWarp>
                          <a:spAutoFit/>
                        </wps:bodyPr>
                      </wps:wsp>
                      <wps:wsp>
                        <wps:cNvPr id="2047755366" name="Straight Connector 2047755366"/>
                        <wps:cNvCnPr/>
                        <wps:spPr bwMode="auto">
                          <a:xfrm flipV="1">
                            <a:off x="4844934" y="1087101"/>
                            <a:ext cx="576130" cy="130968"/>
                          </a:xfrm>
                          <a:prstGeom prst="line">
                            <a:avLst/>
                          </a:prstGeom>
                          <a:solidFill>
                            <a:schemeClr val="accent1"/>
                          </a:solidFill>
                          <a:ln w="9525" cap="flat" cmpd="sng" algn="ctr">
                            <a:solidFill>
                              <a:schemeClr val="tx1"/>
                            </a:solidFill>
                            <a:prstDash val="solid"/>
                            <a:round/>
                            <a:headEnd type="arrow" w="med" len="med"/>
                            <a:tailEnd type="arrow" w="med" len="med"/>
                          </a:ln>
                          <a:effectLst/>
                        </wps:spPr>
                        <wps:bodyPr/>
                      </wps:wsp>
                      <wps:wsp>
                        <wps:cNvPr id="2047755367" name="Text Box 316"/>
                        <wps:cNvSpPr txBox="1">
                          <a:spLocks noChangeArrowheads="1"/>
                        </wps:cNvSpPr>
                        <wps:spPr bwMode="auto">
                          <a:xfrm rot="20966894">
                            <a:off x="2993399" y="2351731"/>
                            <a:ext cx="707585" cy="678744"/>
                          </a:xfrm>
                          <a:prstGeom prst="rect">
                            <a:avLst/>
                          </a:prstGeom>
                          <a:noFill/>
                          <a:ln w="9525">
                            <a:noFill/>
                            <a:miter lim="800000"/>
                            <a:headEnd/>
                            <a:tailEnd/>
                          </a:ln>
                          <a:effectLst/>
                        </wps:spPr>
                        <wps:txbx>
                          <w:txbxContent>
                            <w:p w14:paraId="44B6BD34" w14:textId="77777777" w:rsidR="005863E1" w:rsidRDefault="005863E1" w:rsidP="007E2D6E">
                              <w:pPr>
                                <w:jc w:val="center"/>
                                <w:textAlignment w:val="baseline"/>
                              </w:pPr>
                              <w:r>
                                <w:rPr>
                                  <w:rFonts w:ascii="Arial" w:hAnsi="Arial"/>
                                  <w:color w:val="000000" w:themeColor="text1"/>
                                  <w:kern w:val="24"/>
                                  <w:sz w:val="14"/>
                                  <w:szCs w:val="14"/>
                                  <w:lang w:val="en-US"/>
                                </w:rPr>
                                <w:t>Dip</w:t>
                              </w:r>
                            </w:p>
                          </w:txbxContent>
                        </wps:txbx>
                        <wps:bodyPr wrap="none">
                          <a:prstTxWarp prst="textNoShape">
                            <a:avLst/>
                          </a:prstTxWarp>
                          <a:spAutoFit/>
                        </wps:bodyPr>
                      </wps:wsp>
                      <wps:wsp>
                        <wps:cNvPr id="2047755368" name="Straight Connector 2047755368"/>
                        <wps:cNvCnPr>
                          <a:cxnSpLocks/>
                        </wps:cNvCnPr>
                        <wps:spPr bwMode="auto">
                          <a:xfrm>
                            <a:off x="3366353" y="2682875"/>
                            <a:ext cx="136722" cy="310752"/>
                          </a:xfrm>
                          <a:prstGeom prst="line">
                            <a:avLst/>
                          </a:prstGeom>
                          <a:solidFill>
                            <a:schemeClr val="accent1"/>
                          </a:solidFill>
                          <a:ln w="9525" cap="flat" cmpd="sng" algn="ctr">
                            <a:solidFill>
                              <a:schemeClr val="tx1"/>
                            </a:solidFill>
                            <a:prstDash val="solid"/>
                            <a:round/>
                            <a:headEnd type="none" w="med" len="med"/>
                            <a:tailEnd type="triangle" w="med" len="med"/>
                          </a:ln>
                          <a:effectLst/>
                        </wps:spPr>
                        <wps:bodyPr/>
                      </wps:wsp>
                      <wps:wsp>
                        <wps:cNvPr id="2047755369" name="Text Box 316"/>
                        <wps:cNvSpPr txBox="1">
                          <a:spLocks noChangeArrowheads="1"/>
                        </wps:cNvSpPr>
                        <wps:spPr bwMode="auto">
                          <a:xfrm rot="1280891">
                            <a:off x="955913" y="883418"/>
                            <a:ext cx="1135716" cy="678744"/>
                          </a:xfrm>
                          <a:prstGeom prst="rect">
                            <a:avLst/>
                          </a:prstGeom>
                          <a:noFill/>
                          <a:ln w="9525">
                            <a:noFill/>
                            <a:miter lim="800000"/>
                            <a:headEnd/>
                            <a:tailEnd/>
                          </a:ln>
                          <a:effectLst/>
                        </wps:spPr>
                        <wps:txbx>
                          <w:txbxContent>
                            <w:p w14:paraId="318555C0" w14:textId="77777777" w:rsidR="005863E1" w:rsidRDefault="005863E1" w:rsidP="007E2D6E">
                              <w:pPr>
                                <w:jc w:val="center"/>
                                <w:textAlignment w:val="baseline"/>
                              </w:pPr>
                              <w:r>
                                <w:rPr>
                                  <w:rFonts w:ascii="Arial" w:hAnsi="Arial"/>
                                  <w:color w:val="000000" w:themeColor="text1"/>
                                  <w:kern w:val="24"/>
                                  <w:sz w:val="14"/>
                                  <w:szCs w:val="14"/>
                                  <w:lang w:val="en-US"/>
                                </w:rPr>
                                <w:t>Footwall</w:t>
                              </w:r>
                            </w:p>
                          </w:txbxContent>
                        </wps:txbx>
                        <wps:bodyPr wrap="none">
                          <a:prstTxWarp prst="textNoShape">
                            <a:avLst/>
                          </a:prstTxWarp>
                          <a:spAutoFit/>
                        </wps:bodyPr>
                      </wps:wsp>
                      <wps:wsp>
                        <wps:cNvPr id="2047755370" name="Text Box 316"/>
                        <wps:cNvSpPr txBox="1">
                          <a:spLocks noChangeArrowheads="1"/>
                        </wps:cNvSpPr>
                        <wps:spPr bwMode="auto">
                          <a:xfrm rot="1280891">
                            <a:off x="4765653" y="2559209"/>
                            <a:ext cx="1467484" cy="678744"/>
                          </a:xfrm>
                          <a:prstGeom prst="rect">
                            <a:avLst/>
                          </a:prstGeom>
                          <a:noFill/>
                          <a:ln w="9525">
                            <a:noFill/>
                            <a:miter lim="800000"/>
                            <a:headEnd/>
                            <a:tailEnd/>
                          </a:ln>
                          <a:effectLst/>
                        </wps:spPr>
                        <wps:txbx>
                          <w:txbxContent>
                            <w:p w14:paraId="633762C4" w14:textId="77777777" w:rsidR="005863E1" w:rsidRDefault="005863E1" w:rsidP="007E2D6E">
                              <w:pPr>
                                <w:jc w:val="center"/>
                                <w:textAlignment w:val="baseline"/>
                              </w:pPr>
                              <w:proofErr w:type="spellStart"/>
                              <w:r>
                                <w:rPr>
                                  <w:rFonts w:ascii="Arial" w:hAnsi="Arial"/>
                                  <w:color w:val="000000" w:themeColor="text1"/>
                                  <w:kern w:val="24"/>
                                  <w:sz w:val="14"/>
                                  <w:szCs w:val="14"/>
                                  <w:lang w:val="en-US"/>
                                </w:rPr>
                                <w:t>Hangingwall</w:t>
                              </w:r>
                              <w:proofErr w:type="spellEnd"/>
                            </w:p>
                          </w:txbxContent>
                        </wps:txbx>
                        <wps:bodyPr wrap="none">
                          <a:prstTxWarp prst="textNoShape">
                            <a:avLst/>
                          </a:prstTxWarp>
                          <a:spAutoFit/>
                        </wps:bodyPr>
                      </wps:wsp>
                    </wpg:wgp>
                  </a:graphicData>
                </a:graphic>
              </wp:inline>
            </w:drawing>
          </mc:Choice>
          <mc:Fallback>
            <w:pict>
              <v:group w14:anchorId="114766BE" id="Group 2" o:spid="_x0000_s1077" style="width:300.95pt;height:166.35pt;mso-position-horizontal-relative:char;mso-position-vertical-relative:line" coordorigin="4955" coordsize="82858,45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">
                <v:shape id="Freeform 5" o:spid="_x0000_s1078" style="position:absolute;left:4955;top:4778;width:17181;height:6921;visibility:visible;mso-wrap-style:square;v-text-anchor:top" coordsize="2556,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" path="m220,l2556,933r-199,39l,31,220,xe" fillcolor="#a2a1a0" stroked="f">
                  <v:path arrowok="t" o:connecttype="custom" o:connectlocs="220,0;2556,933;2357,972;0,31;220,0" o:connectangles="0,0,0,0,0"/>
                </v:shape>
                <v:shape id="Freeform 6" o:spid="_x0000_s1079" style="position:absolute;left:5334;top:4635;width:17817;height:7001;visibility:visible;mso-wrap-style:square;v-text-anchor:top" coordsize="2649,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" path="m2352,985l,46,327,,2649,926r-297,59xe" fillcolor="#a1a09f" stroked="f">
                  <v:path arrowok="t" o:connecttype="custom" o:connectlocs="2352,985;0,46;327,0;2649,926;2352,985" o:connectangles="0,0,0,0,0"/>
                </v:shape>
                <v:shape id="Freeform 7" o:spid="_x0000_s1080" style="position:absolute;left:6452;top:4460;width:17679;height:6954;visibility:visible;mso-wrap-style:square;v-text-anchor:top" coordsize="2633,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" path="m2336,979l,46,327,,2633,921r-297,58xe" fillcolor="#a09f9f" stroked="f">
                  <v:path arrowok="t" o:connecttype="custom" o:connectlocs="2336,979;0,46;327,0;2633,921;2336,979" o:connectangles="0,0,0,0,0"/>
                </v:shape>
                <v:shape id="Freeform 11" o:spid="_x0000_s1081" style="position:absolute;left:7535;top:4286;width:17611;height:6921;visibility:visible;mso-wrap-style:square;v-text-anchor:top" coordsize="261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" path="m2322,972l,46,329,,2619,915r-297,57xe" fillcolor="#9f9e9e" stroked="f">
                  <v:path arrowok="t" o:connecttype="custom" o:connectlocs="2322,972;0,46;329,0;2619,915;2322,972" o:connectangles="0,0,0,0,0"/>
                </v:shape>
                <v:shape id="Freeform 12" o:spid="_x0000_s1082" style="position:absolute;left:8653;top:4143;width:17490;height:6874;visibility:visible;mso-wrap-style:square;v-text-anchor:top" coordsize="2604,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" path="m2306,966l,45,328,,2604,909r-298,57xe" fillcolor="#9f9e9d" stroked="f">
                  <v:path arrowok="t" o:connecttype="custom" o:connectlocs="2306,966;0,45;328,0;2604,909;2306,966" o:connectangles="0,0,0,0,0"/>
                </v:shape>
                <v:shape id="Freeform 13" o:spid="_x0000_s1083" style="position:absolute;left:9754;top:3968;width:17387;height:6827;visibility:visible;mso-wrap-style:square;v-text-anchor:top" coordsize="258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" path="m2290,960l,45,327,,2588,902r-298,58xe" fillcolor="#9e9d9c" stroked="f">
                  <v:path arrowok="t" o:connecttype="custom" o:connectlocs="2290,960;0,45;327,0;2588,902;2290,960" o:connectangles="0,0,0,0,0"/>
                </v:shape>
                <v:shape id="Freeform 14" o:spid="_x0000_s1084" style="position:absolute;left:10837;top:3825;width:17301;height:6779;visibility:visible;mso-wrap-style:square;v-text-anchor:top" coordsize="2574,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" path="m2276,955l,46,328,,2574,897r-298,58xe" fillcolor="#9d9c9b" stroked="f">
                  <v:path arrowok="t" o:connecttype="custom" o:connectlocs="2276,955;0,46;328,0;2574,897;2276,955" o:connectangles="0,0,0,0,0"/>
                </v:shape>
                <v:shape id="Freeform 15" o:spid="_x0000_s1085" style="position:absolute;left:11955;top:3651;width:17181;height:6747;visibility:visible;mso-wrap-style:square;v-text-anchor:top" coordsize="2557,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" path="m2261,948l,46,329,,2557,891r-296,57xe" fillcolor="#9c9b9b" stroked="f">
                  <v:path arrowok="t" o:connecttype="custom" o:connectlocs="2261,948;0,46;329,0;2557,891;2261,948" o:connectangles="0,0,0,0,0"/>
                </v:shape>
                <v:shape id="Freeform 16" o:spid="_x0000_s1086" style="position:absolute;left:13038;top:3476;width:17112;height:6715;visibility:visible;mso-wrap-style:square;v-text-anchor:top" coordsize="254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" path="m2246,943l,46,328,,2542,884r-296,59xe" fillcolor="#9b9a9a" stroked="f">
                  <v:path arrowok="t" o:connecttype="custom" o:connectlocs="2246,943;0,46;328,0;2542,884;2246,943" o:connectangles="0,0,0,0,0"/>
                </v:shape>
                <v:shape id="Freeform 17" o:spid="_x0000_s1087" style="position:absolute;left:14156;top:3333;width:16975;height:6652;visibility:visible;mso-wrap-style:square;v-text-anchor:top" coordsize="2526,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" path="m2228,936l,45,327,,2526,878r-298,58xe" fillcolor="#9b9a99" stroked="f">
                  <v:path arrowok="t" o:connecttype="custom" o:connectlocs="2228,936;0,45;327,0;2526,878;2228,936" o:connectangles="0,0,0,0,0"/>
                </v:shape>
                <v:shape id="Freeform 18" o:spid="_x0000_s1088" style="position:absolute;left:15257;top:3159;width:16888;height:6620;visibility:visible;mso-wrap-style:square;v-text-anchor:top" coordsize="2512,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" path="m2214,929l,45,327,,2512,871r-298,58xe" fillcolor="#9a9998" stroked="f">
                  <v:path arrowok="t" o:connecttype="custom" o:connectlocs="2214,929;0,45;327,0;2512,871;2214,929" o:connectangles="0,0,0,0,0"/>
                </v:shape>
                <v:shape id="Freeform 28" o:spid="_x0000_s1089" style="position:absolute;left:16358;top:3016;width:16785;height:6572;visibility:visible;mso-wrap-style:square;v-text-anchor:top" coordsize="2497,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" path="m2199,924l,46,328,,2497,866r-298,58xe" fillcolor="#999897" stroked="f">
                  <v:path arrowok="t" o:connecttype="custom" o:connectlocs="2199,924;0,46;328,0;2497,866;2199,924" o:connectangles="0,0,0,0,0"/>
                </v:shape>
                <v:shape id="Freeform 30" o:spid="_x0000_s1090" style="position:absolute;left:17458;top:2841;width:16682;height:6525;visibility:visible;mso-wrap-style:square;v-text-anchor:top" coordsize="248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" path="m2185,917l,46,329,,2483,860r-298,57xe" fillcolor="#989797" stroked="f">
                  <v:path arrowok="t" o:connecttype="custom" o:connectlocs="2185,917;0,46;329,0;2483,860;2185,917" o:connectangles="0,0,0,0,0"/>
                </v:shape>
                <v:shape id="Freeform 31" o:spid="_x0000_s1091" style="position:absolute;left:18559;top:2667;width:16561;height:6492;visibility:visible;mso-wrap-style:square;v-text-anchor:top" coordsize="2465,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" path="m2169,912l,46,327,,2465,855r-296,57xe" fillcolor="#979696" stroked="f">
                  <v:path arrowok="t" o:connecttype="custom" o:connectlocs="2169,912;0,46;327,0;2465,855;2169,912" o:connectangles="0,0,0,0,0"/>
                </v:shape>
                <v:shape id="Freeform 32" o:spid="_x0000_s1092" style="position:absolute;left:19660;top:2524;width:16475;height:6445;visibility:visible;mso-wrap-style:square;v-text-anchor:top" coordsize="2450,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" path="m2154,905l,45,327,,2450,847r-296,58xe" fillcolor="#969595" stroked="f">
                  <v:path arrowok="t" o:connecttype="custom" o:connectlocs="2154,905;0,45;327,0;2450,847;2154,905" o:connectangles="0,0,0,0,0"/>
                </v:shape>
                <v:shape id="Freeform 33" o:spid="_x0000_s1093" style="position:absolute;left:20760;top:2349;width:16373;height:6398;visibility:visible;mso-wrap-style:square;v-text-anchor:top" coordsize="2436,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" path="m2138,900l,45,329,,2436,841r-298,59xe" fillcolor="#959493" stroked="f">
                  <v:path arrowok="t" o:connecttype="custom" o:connectlocs="2138,900;0,45;329,0;2436,841;2138,900" o:connectangles="0,0,0,0,0"/>
                </v:shape>
                <v:shape id="Freeform 34" o:spid="_x0000_s1094" style="position:absolute;left:21861;top:2190;width:16269;height:6350;visibility:visible;mso-wrap-style:square;v-text-anchor:top" coordsize="2421,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" path="m2123,893l,46,329,,2421,835r-298,58xe" fillcolor="#949393" stroked="f">
                  <v:path arrowok="t" o:connecttype="custom" o:connectlocs="2123,893;0,46;329,0;2421,835;2123,893" o:connectangles="0,0,0,0,0"/>
                </v:shape>
                <v:shape id="Freeform 35" o:spid="_x0000_s1095" style="position:absolute;left:22962;top:2032;width:16183;height:6318;visibility:visible;mso-wrap-style:square;v-text-anchor:top" coordsize="2404,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" path="m2107,887l,46,327,,2404,829r-297,58xe" fillcolor="#949292" stroked="f">
                  <v:path arrowok="t" o:connecttype="custom" o:connectlocs="2107,887;0,46;327,0;2404,829;2107,887" o:connectangles="0,0,0,0,0"/>
                </v:shape>
                <v:shape id="Freeform 36" o:spid="_x0000_s1096" style="position:absolute;left:24079;top:1873;width:16046;height:6255;visibility:visible;mso-wrap-style:square;v-text-anchor:top" coordsize="238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" path="m2092,880l,45,328,,2389,823r-297,57xe" fillcolor="#939291" stroked="f">
                  <v:path arrowok="t" o:connecttype="custom" o:connectlocs="2092,880;0,45;328,0;2389,823;2092,880" o:connectangles="0,0,0,0,0"/>
                </v:shape>
                <v:shape id="Freeform 37" o:spid="_x0000_s1097" style="position:absolute;left:25163;top:1714;width:15977;height:6207;visibility:visible;mso-wrap-style:square;v-text-anchor:top" coordsize="2375,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" path="m2077,874l,45,329,,2375,816r-298,58xe" fillcolor="#929190" stroked="f">
                  <v:path arrowok="t" o:connecttype="custom" o:connectlocs="2077,874;0,45;329,0;2375,816;2077,874" o:connectangles="0,0,0,0,0"/>
                </v:shape>
                <v:shape id="Freeform 38" o:spid="_x0000_s1098" style="position:absolute;left:26264;top:1539;width:15856;height:6192;visibility:visible;mso-wrap-style:square;v-text-anchor:top" coordsize="2358,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" path="m2061,869l,46,327,,2358,811r-297,58xe" fillcolor="#919090" stroked="f">
                  <v:path arrowok="t" o:connecttype="custom" o:connectlocs="2061,869;0,46;327,0;2358,811;2061,869" o:connectangles="0,0,0,0,0"/>
                </v:shape>
                <v:shape id="Freeform 39" o:spid="_x0000_s1099" style="position:absolute;left:27381;top:1381;width:15754;height:6127;visibility:visible;mso-wrap-style:square;v-text-anchor:top" coordsize="2342,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" path="m2046,862l,46,327,,2342,805r-296,57xe" fillcolor="#91908f" stroked="f">
                  <v:path arrowok="t" o:connecttype="custom" o:connectlocs="2046,862;0,46;327,0;2342,805;2046,862" o:connectangles="0,0,0,0,0"/>
                </v:shape>
                <v:shape id="Freeform 40" o:spid="_x0000_s1100" style="position:absolute;left:28465;top:1222;width:15650;height:6096;visibility:visible;mso-wrap-style:square;v-text-anchor:top" coordsize="2328,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" path="m2031,857l,46,329,,2328,798r-297,59xe" fillcolor="#908f8e" stroked="f">
                  <v:path arrowok="t" o:connecttype="custom" o:connectlocs="2031,857;0,46;329,0;2328,798;2031,857" o:connectangles="0,0,0,0,0"/>
                </v:shape>
                <v:shape id="Freeform 41" o:spid="_x0000_s1101" style="position:absolute;left:29583;top:1063;width:15547;height:6049;visibility:visible;mso-wrap-style:square;v-text-anchor:top" coordsize="231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" path="m2015,850l,45,329,,2313,792r-298,58xe" fillcolor="#8f8e8d" stroked="f">
                  <v:path arrowok="t" o:connecttype="custom" o:connectlocs="2015,850;0,45;329,0;2313,792;2015,850" o:connectangles="0,0,0,0,0"/>
                </v:shape>
                <v:shape id="Freeform 42" o:spid="_x0000_s1102" style="position:absolute;left:30683;top:889;width:15444;height:6000;visibility:visible;mso-wrap-style:square;v-text-anchor:top" coordsize="2297,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" path="m1999,843l,45,327,,2297,785r-298,58xe" fillcolor="#8e8d8d" stroked="f">
                  <v:path arrowok="t" o:connecttype="custom" o:connectlocs="1999,843;0,45;327,0;2297,785;1999,843" o:connectangles="0,0,0,0,0"/>
                </v:shape>
                <v:shape id="Freeform 43" o:spid="_x0000_s1103" style="position:absolute;left:31801;top:730;width:15324;height:5969;visibility:visible;mso-wrap-style:square;v-text-anchor:top" coordsize="2282,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" path="m1984,838l,46,327,,2282,780r-298,58xe" fillcolor="#8e8d8c" stroked="f">
                  <v:path arrowok="t" o:connecttype="custom" o:connectlocs="1984,838;0,46;327,0;2282,780;1984,838" o:connectangles="0,0,0,0,0"/>
                </v:shape>
                <v:shape id="Freeform 44" o:spid="_x0000_s1104" style="position:absolute;left:32885;top:571;width:15220;height:5921;visibility:visible;mso-wrap-style:square;v-text-anchor:top" coordsize="2266,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" path="m1970,831l,46,329,,2266,774r-296,57xe" fillcolor="#8d8c8b" stroked="f">
                  <v:path arrowok="t" o:connecttype="custom" o:connectlocs="1970,831;0,46;329,0;2266,774;1970,831" o:connectangles="0,0,0,0,0"/>
                </v:shape>
                <v:shape id="Freeform 45" o:spid="_x0000_s1105" style="position:absolute;left:34003;top:412;width:15117;height:5858;visibility:visible;mso-wrap-style:square;v-text-anchor:top" coordsize="2251,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" path="m1955,826l,46,328,,2251,767r-296,59xe" fillcolor="#8c8b8a" stroked="f">
                  <v:path arrowok="t" o:connecttype="custom" o:connectlocs="1955,826;0,46;328,0;2251,767;1955,826" o:connectangles="0,0,0,0,0"/>
                </v:shape>
                <v:shape id="Freeform 46" o:spid="_x0000_s1106" style="position:absolute;left:35103;top:254;width:15031;height:5826;visibility:visible;mso-wrap-style:square;v-text-anchor:top" coordsize="223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" path="m1937,819l,45,327,,2235,761r-298,58xe" fillcolor="#8b8a8a" stroked="f">
                  <v:path arrowok="t" o:connecttype="custom" o:connectlocs="1937,819;0,45;327,0;2235,761;1937,819" o:connectangles="0,0,0,0,0"/>
                </v:shape>
                <v:shape id="Freeform 47" o:spid="_x0000_s1107" style="position:absolute;left:36187;top:79;width:14928;height:5794;visibility:visible;mso-wrap-style:square;v-text-anchor:top" coordsize="2221,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" path="m1923,812l,45,327,,2221,755r-298,57xe" fillcolor="#8b8989" stroked="f">
                  <v:path arrowok="t" o:connecttype="custom" o:connectlocs="1923,812;0,45;327,0;2221,755;1923,812" o:connectangles="0,0,0,0,0"/>
                </v:shape>
                <v:shape id="Freeform 48" o:spid="_x0000_s1108" style="position:absolute;left:37305;width:14291;height:5651;visibility:visible;mso-wrap-style:square;v-text-anchor:top" coordsize="212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" path="m1908,795l,34,241,,2127,752r-219,43xe" fillcolor="#8a8988" stroked="f">
                  <v:path arrowok="t" o:connecttype="custom" o:connectlocs="1908,795;0,34;241,0;2127,752;1908,795" o:connectangles="0,0,0,0,0"/>
                </v:shape>
                <v:shape id="Freeform 49" o:spid="_x0000_s1109" style="position:absolute;left:38388;width:13208;height:5461;visibility:visible;mso-wrap-style:square;v-text-anchor:top" coordsize="196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" path="m1894,766l,11,78,,1964,752r-70,14xe" fillcolor="#898887" stroked="f">
                  <v:path arrowok="t" o:connecttype="custom" o:connectlocs="1894,766;0,11;78,0;1964,752;1894,766" o:connectangles="0,0,0,0,0"/>
                </v:shape>
                <v:shape id="Freeform 50" o:spid="_x0000_s1110" style="position:absolute;left:4955;width:46641;height:11699;visibility:visible;mso-wrap-style:square;v-text-anchor:top" coordsize="6937,1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" path="m,703l5051,,6937,752,2357,1644,,703xe" filled="f" strokecolor="#1f1a17" strokeweight=".5pt">
                  <v:path arrowok="t" o:connecttype="custom" o:connectlocs="0,703;5051,0;6937,752;2357,1644;0,703" o:connectangles="0,0,0,0,0"/>
                </v:shape>
                <v:shape id="Freeform 51" o:spid="_x0000_s1111" style="position:absolute;left:20812;top:11334;width:12571;height:21416;visibility:visible;mso-wrap-style:square;v-text-anchor:top" coordsize="1871,3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" path="m266,l1871,2925r-247,86l,52,266,xe" fillcolor="#a2a1a0" stroked="f">
                  <v:path arrowok="t" o:connecttype="custom" o:connectlocs="266,0;1871,2925;1624,3011;0,52;266,0" o:connectangles="0,0,0,0,0"/>
                </v:shape>
                <v:shape id="Freeform 53" o:spid="_x0000_s1112" style="position:absolute;left:21620;top:11112;width:12658;height:21368;visibility:visible;mso-wrap-style:square;v-text-anchor:top" coordsize="1884,3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" path="m1616,3001l,57,290,,1884,2907r-268,94xe" fillcolor="#a1a09f" stroked="f">
                  <v:path arrowok="t" o:connecttype="custom" o:connectlocs="1616,3001;0,57;290,0;1884,2907;1616,3001" o:connectangles="0,0,0,0,0"/>
                </v:shape>
                <v:shape id="Freeform 54" o:spid="_x0000_s1113" style="position:absolute;left:22600;top:10922;width:12589;height:21209;visibility:visible;mso-wrap-style:square;v-text-anchor:top" coordsize="1873,2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" path="m1605,2982l,57,288,,1873,2888r-268,94xe" fillcolor="#a09f9f" stroked="f">
                  <v:path arrowok="t" o:connecttype="custom" o:connectlocs="1605,2982;0,57;288,0;1873,2888;1605,2982" o:connectangles="0,0,0,0,0"/>
                </v:shape>
                <v:shape id="Freeform 55" o:spid="_x0000_s1114" style="position:absolute;left:23563;top:10731;width:12521;height:21066;visibility:visible;mso-wrap-style:square;v-text-anchor:top" coordsize="1862,2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" path="m1594,2962l,55,288,,1862,2868r-268,94xe" fillcolor="#9f9e9e" stroked="f">
                  <v:path arrowok="t" o:connecttype="custom" o:connectlocs="1594,2962;0,55;288,0;1862,2868;1594,2962" o:connectangles="0,0,0,0,0"/>
                </v:shape>
                <v:shape id="Freeform 56" o:spid="_x0000_s1115" style="position:absolute;left:24544;top:10541;width:12434;height:20939;visibility:visible;mso-wrap-style:square;v-text-anchor:top" coordsize="1853,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" path="m1585,2943l,55,290,,1853,2849r-268,94xe" fillcolor="#9f9e9d" stroked="f">
                  <v:path arrowok="t" o:connecttype="custom" o:connectlocs="1585,2943;0,55;290,0;1853,2849;1585,2943" o:connectangles="0,0,0,0,0"/>
                </v:shape>
                <v:shape id="Freeform 57" o:spid="_x0000_s1116" style="position:absolute;left:25507;top:10334;width:12400;height:20796;visibility:visible;mso-wrap-style:square;v-text-anchor:top" coordsize="1844,2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" path="m1574,2924l,56,290,,1844,2830r-270,94xe" fillcolor="#9e9d9c" stroked="f">
                  <v:path arrowok="t" o:connecttype="custom" o:connectlocs="1574,2924;0,56;290,0;1844,2830;1574,2924" o:connectangles="0,0,0,0,0"/>
                </v:shape>
                <v:shape id="Freeform 58" o:spid="_x0000_s1117" style="position:absolute;left:26470;top:10128;width:12331;height:20669;visibility:visible;mso-wrap-style:square;v-text-anchor:top" coordsize="1833,2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" path="m1563,2905l,56,288,,1833,2812r-270,93xe" fillcolor="#9d9c9b" stroked="f">
                  <v:path arrowok="t" o:connecttype="custom" o:connectlocs="1563,2905;0,56;288,0;1833,2812;1563,2905" o:connectangles="0,0,0,0,0"/>
                </v:shape>
                <v:shape id="Freeform 59" o:spid="_x0000_s1118" style="position:absolute;left:27467;top:9937;width:12228;height:20527;visibility:visible;mso-wrap-style:square;v-text-anchor:top" coordsize="1822,2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" path="m1554,2886l,56,288,,1822,2793r-268,93xe" fillcolor="#9c9b9b" stroked="f">
                  <v:path arrowok="t" o:connecttype="custom" o:connectlocs="1554,2886;0,56;288,0;1822,2793;1554,2886" o:connectangles="0,0,0,0,0"/>
                </v:shape>
                <v:shape id="Freeform 60" o:spid="_x0000_s1119" style="position:absolute;left:28413;top:9731;width:12194;height:20399;visibility:visible;mso-wrap-style:square;v-text-anchor:top" coordsize="1813,2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" path="m1545,2868l,56,290,,1813,2775r-268,93xe" fillcolor="#9b9a9a" stroked="f">
                  <v:path arrowok="t" o:connecttype="custom" o:connectlocs="1545,2868;0,56;290,0;1813,2775;1545,2868" o:connectangles="0,0,0,0,0"/>
                </v:shape>
                <v:shape id="Freeform 61" o:spid="_x0000_s1120" style="position:absolute;left:29394;top:9540;width:12107;height:20273;visibility:visible;mso-wrap-style:square;v-text-anchor:top" coordsize="1802,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" path="m1534,2850l,57,288,,1802,2757r-268,93xe" fillcolor="#9b9a99" stroked="f">
                  <v:path arrowok="t" o:connecttype="custom" o:connectlocs="1534,2850;0,57;288,0;1802,2757;1534,2850" o:connectangles="0,0,0,0,0"/>
                </v:shape>
                <v:shape id="Freeform 62" o:spid="_x0000_s1121" style="position:absolute;left:30357;top:9318;width:12038;height:20146;visibility:visible;mso-wrap-style:square;v-text-anchor:top" coordsize="1791,2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" path="m1523,2832l,57,288,,1791,2738r-268,94xe" fillcolor="#9a9998" stroked="f">
                  <v:path arrowok="t" o:connecttype="custom" o:connectlocs="1523,2832;0,57;288,0;1791,2738;1523,2832" o:connectangles="0,0,0,0,0"/>
                </v:shape>
                <v:shape id="Freeform 63" o:spid="_x0000_s1122" style="position:absolute;left:31337;top:9128;width:11970;height:20018;visibility:visible;mso-wrap-style:square;v-text-anchor:top" coordsize="1782,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" path="m1514,2813l,56,290,,1782,2719r-268,94xe" fillcolor="#999897" stroked="f">
                  <v:path arrowok="t" o:connecttype="custom" o:connectlocs="1514,2813;0,56;290,0;1782,2719;1514,2813" o:connectangles="0,0,0,0,0"/>
                </v:shape>
                <v:shape id="Freeform 64" o:spid="_x0000_s1123" style="position:absolute;left:32300;top:8937;width:11901;height:19876;visibility:visible;mso-wrap-style:square;v-text-anchor:top" coordsize="1771,2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" path="m1503,2794l,56,288,,1771,2700r-268,94xe" fillcolor="#989797" stroked="f">
                  <v:path arrowok="t" o:connecttype="custom" o:connectlocs="1503,2794;0,56;288,0;1771,2700;1503,2794" o:connectangles="0,0,0,0,0"/>
                </v:shape>
                <v:shape id="Freeform 65" o:spid="_x0000_s1124" style="position:absolute;left:33263;top:8731;width:11849;height:19732;visibility:visible;mso-wrap-style:square;v-text-anchor:top" coordsize="1761,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" path="m1492,2775l,56,288,,1761,2681r-269,94xe" fillcolor="#979696" stroked="f">
                  <v:path arrowok="t" o:connecttype="custom" o:connectlocs="1492,2775;0,56;288,0;1761,2681;1492,2775" o:connectangles="0,0,0,0,0"/>
                </v:shape>
                <v:shape id="Freeform 66" o:spid="_x0000_s1125" style="position:absolute;left:34243;top:8540;width:11764;height:19606;visibility:visible;mso-wrap-style:square;v-text-anchor:top" coordsize="1752,2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" path="m1483,2756l,56,290,,1752,2662r-269,94xe" fillcolor="#969595" stroked="f">
                  <v:path arrowok="t" o:connecttype="custom" o:connectlocs="1483,2756;0,56;290,0;1752,2662;1483,2756" o:connectangles="0,0,0,0,0"/>
                </v:shape>
                <v:shape id="Freeform 67" o:spid="_x0000_s1126" style="position:absolute;left:35206;top:8350;width:11712;height:19447;visibility:visible;mso-wrap-style:square;v-text-anchor:top" coordsize="1741,2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" path="m1473,2737l,56,290,,1741,2644r-268,93xe" fillcolor="#959493" stroked="f">
                  <v:path arrowok="t" o:connecttype="custom" o:connectlocs="1473,2737;0,56;290,0;1741,2644;1473,2737" o:connectangles="0,0,0,0,0"/>
                </v:shape>
                <v:shape id="Freeform 68" o:spid="_x0000_s1127" style="position:absolute;left:36187;top:8128;width:11626;height:19335;visibility:visible;mso-wrap-style:square;v-text-anchor:top" coordsize="1730,2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" path="m1462,2719l,57,288,,1730,2627r-268,92xe" fillcolor="#949393" stroked="f">
                  <v:path arrowok="t" o:connecttype="custom" o:connectlocs="1462,2719;0,57;288,0;1730,2627;1462,2719" o:connectangles="0,0,0,0,0"/>
                </v:shape>
                <v:shape id="Freeform 69" o:spid="_x0000_s1128" style="position:absolute;left:37167;top:7937;width:11540;height:19209;visibility:visible;mso-wrap-style:square;v-text-anchor:top" coordsize="1719,2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" path="m1451,2701l,57,288,,1719,2608r-268,93xe" fillcolor="#949292" stroked="f">
                  <v:path arrowok="t" o:connecttype="custom" o:connectlocs="1451,2701;0,57;288,0;1719,2608;1451,2701" o:connectangles="0,0,0,0,0"/>
                </v:shape>
                <v:shape id="Freeform 70" o:spid="_x0000_s1129" style="position:absolute;left:38130;top:7731;width:11488;height:19097;visibility:visible;mso-wrap-style:square;v-text-anchor:top" coordsize="1710,2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" path="m1442,2683l,56,290,,1710,2589r-268,94xe" fillcolor="#939291" stroked="f">
                  <v:path arrowok="t" o:connecttype="custom" o:connectlocs="1442,2683;0,56;290,0;1710,2589;1442,2683" o:connectangles="0,0,0,0,0"/>
                </v:shape>
                <v:shape id="Freeform 71" o:spid="_x0000_s1130" style="position:absolute;left:39093;top:7524;width:11420;height:18955;visibility:visible;mso-wrap-style:square;v-text-anchor:top" coordsize="1699,2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" path="m1431,2664l,56,288,,1699,2570r-268,94xe" fillcolor="#929190" stroked="f">
                  <v:path arrowok="t" o:connecttype="custom" o:connectlocs="1431,2664;0,56;288,0;1699,2570;1431,2664" o:connectangles="0,0,0,0,0"/>
                </v:shape>
                <v:shape id="Freeform 72" o:spid="_x0000_s1131" style="position:absolute;left:40056;top:7334;width:11368;height:18812;visibility:visible;mso-wrap-style:square;v-text-anchor:top" coordsize="1688,2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" path="m1420,2645l,56,288,,1688,2551r-268,94xe" fillcolor="#919090" stroked="f">
                  <v:path arrowok="t" o:connecttype="custom" o:connectlocs="1420,2645;0,56;288,0;1688,2551;1420,2645" o:connectangles="0,0,0,0,0"/>
                </v:shape>
                <v:shape id="Freeform 73" o:spid="_x0000_s1132" style="position:absolute;left:41037;top:7127;width:11281;height:18685;visibility:visible;mso-wrap-style:square;v-text-anchor:top" coordsize="1681,2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" path="m1411,2626l,56,290,,1681,2532r-270,94xe" fillcolor="#91908f" stroked="f">
                  <v:path arrowok="t" o:connecttype="custom" o:connectlocs="1411,2626;0,56;290,0;1681,2532;1411,2626" o:connectangles="0,0,0,0,0"/>
                </v:shape>
                <v:shape id="Freeform 74" o:spid="_x0000_s1133" style="position:absolute;left:42000;top:6937;width:11230;height:18542;visibility:visible;mso-wrap-style:square;v-text-anchor:top" coordsize="1670,2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" path="m1400,2608l,57,290,,1670,2514r-270,94xe" fillcolor="#908f8e" stroked="f">
                  <v:path arrowok="t" o:connecttype="custom" o:connectlocs="1400,2608;0,57;290,0;1670,2514;1400,2608" o:connectangles="0,0,0,0,0"/>
                </v:shape>
                <v:shape id="Freeform 75" o:spid="_x0000_s1134" style="position:absolute;left:42980;top:6715;width:11161;height:18415;visibility:visible;mso-wrap-style:square;v-text-anchor:top" coordsize="1659,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" path="m1391,2589l,57,288,,1659,2495r-268,94xe" fillcolor="#8f8e8d" stroked="f">
                  <v:path arrowok="t" o:connecttype="custom" o:connectlocs="1391,2589;0,57;288,0;1659,2495;1391,2589" o:connectangles="0,0,0,0,0"/>
                </v:shape>
                <v:shape id="Freeform 76" o:spid="_x0000_s1135" style="position:absolute;left:43960;top:6524;width:11076;height:18288;visibility:visible;mso-wrap-style:square;v-text-anchor:top" coordsize="1648,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" path="m1380,2570l,56,288,,1648,2477r-268,93xe" fillcolor="#8e8d8d" stroked="f">
                  <v:path arrowok="t" o:connecttype="custom" o:connectlocs="1380,2570;0,56;288,0;1648,2477;1380,2570" o:connectangles="0,0,0,0,0"/>
                </v:shape>
                <v:shape id="Freeform 77" o:spid="_x0000_s1136" style="position:absolute;left:44923;top:6334;width:11007;height:18145;visibility:visible;mso-wrap-style:square;v-text-anchor:top" coordsize="1639,2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" path="m1371,2551l,56,290,,1639,2459r-268,92xe" fillcolor="#8e8d8c" stroked="f">
                  <v:path arrowok="t" o:connecttype="custom" o:connectlocs="1371,2551;0,56;290,0;1639,2459;1371,2551" o:connectangles="0,0,0,0,0"/>
                </v:shape>
                <v:shape id="Freeform 78" o:spid="_x0000_s1137" style="position:absolute;left:45886;top:6127;width:10955;height:18034;visibility:visible;mso-wrap-style:square;v-text-anchor:top" coordsize="1628,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" path="m1360,2533l,56,289,,1628,2440r-268,93xe" fillcolor="#8d8c8b" stroked="f">
                  <v:path arrowok="t" o:connecttype="custom" o:connectlocs="1360,2533;0,56;289,0;1628,2440;1360,2533" o:connectangles="0,0,0,0,0"/>
                </v:shape>
                <v:shape id="Freeform 79" o:spid="_x0000_s1138" style="position:absolute;left:46867;top:5937;width:10869;height:17875;visibility:visible;mso-wrap-style:square;v-text-anchor:top" coordsize="1617,2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" path="m1349,2515l,56,288,,1617,2421r-268,94xe" fillcolor="#8c8b8a" stroked="f">
                  <v:path arrowok="t" o:connecttype="custom" o:connectlocs="1349,2515;0,56;288,0;1617,2421;1349,2515" o:connectangles="0,0,0,0,0"/>
                </v:shape>
                <v:shape id="Freeform 80" o:spid="_x0000_s1139" style="position:absolute;left:47830;top:5746;width:10800;height:17749;visibility:visible;mso-wrap-style:square;v-text-anchor:top" coordsize="1607,2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" path="m1339,2496l,56,289,,1607,2402r-268,94xe" fillcolor="#8b8a8a" stroked="f">
                  <v:path arrowok="t" o:connecttype="custom" o:connectlocs="1339,2496;0,56;289,0;1607,2402;1339,2496" o:connectangles="0,0,0,0,0"/>
                </v:shape>
                <v:shape id="Freeform 81" o:spid="_x0000_s1140" style="position:absolute;left:48793;top:5524;width:10749;height:17621;visibility:visible;mso-wrap-style:square;v-text-anchor:top" coordsize="1597,2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" path="m1329,2478l,57,289,,1597,2384r-268,94xe" fillcolor="#8b8989" stroked="f">
                  <v:path arrowok="t" o:connecttype="custom" o:connectlocs="1329,2478;0,57;289,0;1597,2384;1329,2478" o:connectangles="0,0,0,0,0"/>
                </v:shape>
                <v:shape id="Freeform 82" o:spid="_x0000_s1141" style="position:absolute;left:49790;top:5349;width:10543;height:17463;visibility:visible;mso-wrap-style:square;v-text-anchor:top" coordsize="156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" path="m1318,2455l,53,270,,1569,2368r,l1318,2455xe" fillcolor="#8a8988" stroked="f">
                  <v:path arrowok="t" o:connecttype="custom" o:connectlocs="1318,2455;0,53;270,0;1569,2368;1569,2368;1318,2455" o:connectangles="0,0,0,0,0,0"/>
                </v:shape>
                <v:shape id="Freeform 83" o:spid="_x0000_s1142" style="position:absolute;left:50753;top:5349;width:9580;height:17145;visibility:visible;mso-wrap-style:square;v-text-anchor:top" coordsize="1425,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" path="m1308,2408l,24,126,,1425,2368r,l1308,2408xe" fillcolor="#898887" stroked="f">
                  <v:path arrowok="t" o:connecttype="custom" o:connectlocs="1308,2408;0,24;126,0;1425,2368;1425,2368;1308,2408" o:connectangles="0,0,0,0,0,0"/>
                </v:shape>
                <v:shape id="Freeform 84" o:spid="_x0000_s1143" style="position:absolute;left:20812;top:5349;width:39521;height:27401;visibility:visible;mso-wrap-style:square;v-text-anchor:top" coordsize="5879,3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" path="m,892l4580,,5879,2368,1624,3851,,892xe" filled="f" strokecolor="#1f1a17" strokeweight=".5pt">
                  <v:path arrowok="t" o:connecttype="custom" o:connectlocs="0,892;4580,0;5879,2368;1624,3851;0,892" o:connectangles="0,0,0,0,0"/>
                </v:shape>
                <v:shape id="Freeform 85" o:spid="_x0000_s1144" style="position:absolute;left:4955;top:4778;width:17181;height:6921;visibility:visible;mso-wrap-style:square;v-text-anchor:top" coordsize="2556,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" path="m220,l2556,933r-199,39l,31,220,xe" fillcolor="#a2a1a0" stroked="f">
                  <v:path arrowok="t" o:connecttype="custom" o:connectlocs="220,0;2556,933;2357,972;0,31;220,0" o:connectangles="0,0,0,0,0"/>
                </v:shape>
                <v:shape id="Freeform 86" o:spid="_x0000_s1145" style="position:absolute;left:5334;top:4635;width:17817;height:7001;visibility:visible;mso-wrap-style:square;v-text-anchor:top" coordsize="2649,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" path="m2352,985l,46,327,,2649,926r-297,59xe" fillcolor="#a1a09f" stroked="f">
                  <v:path arrowok="t" o:connecttype="custom" o:connectlocs="2352,985;0,46;327,0;2649,926;2352,985" o:connectangles="0,0,0,0,0"/>
                </v:shape>
                <v:shape id="Freeform 87" o:spid="_x0000_s1146" style="position:absolute;left:6452;top:4460;width:17679;height:6954;visibility:visible;mso-wrap-style:square;v-text-anchor:top" coordsize="2633,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" path="m2336,979l,46,327,,2633,921r-297,58xe" fillcolor="#a09f9f" stroked="f">
                  <v:path arrowok="t" o:connecttype="custom" o:connectlocs="2336,979;0,46;327,0;2633,921;2336,979" o:connectangles="0,0,0,0,0"/>
                </v:shape>
                <v:shape id="Freeform 88" o:spid="_x0000_s1147" style="position:absolute;left:7535;top:4286;width:17611;height:6921;visibility:visible;mso-wrap-style:square;v-text-anchor:top" coordsize="261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" path="m2322,972l,46,329,,2619,915r-297,57xe" fillcolor="#9f9e9e" stroked="f">
                  <v:path arrowok="t" o:connecttype="custom" o:connectlocs="2322,972;0,46;329,0;2619,915;2322,972" o:connectangles="0,0,0,0,0"/>
                </v:shape>
                <v:shape id="Freeform 89" o:spid="_x0000_s1148" style="position:absolute;left:8653;top:4143;width:17490;height:6874;visibility:visible;mso-wrap-style:square;v-text-anchor:top" coordsize="2604,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" path="m2306,966l,45,328,,2604,909r-298,57xe" fillcolor="#9f9e9d" stroked="f">
                  <v:path arrowok="t" o:connecttype="custom" o:connectlocs="2306,966;0,45;328,0;2604,909;2306,966" o:connectangles="0,0,0,0,0"/>
                </v:shape>
                <v:shape id="Freeform 90" o:spid="_x0000_s1149" style="position:absolute;left:9754;top:3968;width:17387;height:6827;visibility:visible;mso-wrap-style:square;v-text-anchor:top" coordsize="258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" path="m2290,960l,45,327,,2588,902r-298,58xe" fillcolor="#9e9d9c" stroked="f">
                  <v:path arrowok="t" o:connecttype="custom" o:connectlocs="2290,960;0,45;327,0;2588,902;2290,960" o:connectangles="0,0,0,0,0"/>
                </v:shape>
                <v:shape id="Freeform 91" o:spid="_x0000_s1150" style="position:absolute;left:10837;top:3825;width:17301;height:6779;visibility:visible;mso-wrap-style:square;v-text-anchor:top" coordsize="2574,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" path="m2276,955l,46,328,,2574,897r-298,58xe" fillcolor="#9d9c9b" stroked="f">
                  <v:path arrowok="t" o:connecttype="custom" o:connectlocs="2276,955;0,46;328,0;2574,897;2276,955" o:connectangles="0,0,0,0,0"/>
                </v:shape>
                <v:shape id="Freeform 92" o:spid="_x0000_s1151" style="position:absolute;left:11955;top:3651;width:17181;height:6747;visibility:visible;mso-wrap-style:square;v-text-anchor:top" coordsize="2557,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" path="m2261,948l,46,329,,2557,891r-296,57xe" fillcolor="#9c9b9b" stroked="f">
                  <v:path arrowok="t" o:connecttype="custom" o:connectlocs="2261,948;0,46;329,0;2557,891;2261,948" o:connectangles="0,0,0,0,0"/>
                </v:shape>
                <v:shape id="Freeform 93" o:spid="_x0000_s1152" style="position:absolute;left:13038;top:3476;width:17112;height:6715;visibility:visible;mso-wrap-style:square;v-text-anchor:top" coordsize="254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" path="m2246,943l,46,328,,2542,884r-296,59xe" fillcolor="#9b9a9a" stroked="f">
                  <v:path arrowok="t" o:connecttype="custom" o:connectlocs="2246,943;0,46;328,0;2542,884;2246,943" o:connectangles="0,0,0,0,0"/>
                </v:shape>
                <v:shape id="Freeform 94" o:spid="_x0000_s1153" style="position:absolute;left:14156;top:3333;width:16975;height:6652;visibility:visible;mso-wrap-style:square;v-text-anchor:top" coordsize="2526,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" path="m2228,936l,45,327,,2526,878r-298,58xe" fillcolor="#9b9a99" stroked="f">
                  <v:path arrowok="t" o:connecttype="custom" o:connectlocs="2228,936;0,45;327,0;2526,878;2228,936" o:connectangles="0,0,0,0,0"/>
                </v:shape>
                <v:shape id="Freeform 95" o:spid="_x0000_s1154" style="position:absolute;left:15257;top:3159;width:16888;height:6620;visibility:visible;mso-wrap-style:square;v-text-anchor:top" coordsize="2512,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" path="m2214,929l,45,327,,2512,871r-298,58xe" fillcolor="#9a9998" stroked="f">
                  <v:path arrowok="t" o:connecttype="custom" o:connectlocs="2214,929;0,45;327,0;2512,871;2214,929" o:connectangles="0,0,0,0,0"/>
                </v:shape>
                <v:shape id="Freeform 96" o:spid="_x0000_s1155" style="position:absolute;left:16358;top:3016;width:16785;height:6572;visibility:visible;mso-wrap-style:square;v-text-anchor:top" coordsize="2497,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" path="m2199,924l,46,328,,2497,866r-298,58xe" fillcolor="#999897" stroked="f">
                  <v:path arrowok="t" o:connecttype="custom" o:connectlocs="2199,924;0,46;328,0;2497,866;2199,924" o:connectangles="0,0,0,0,0"/>
                </v:shape>
                <v:shape id="Freeform 97" o:spid="_x0000_s1156" style="position:absolute;left:17458;top:2841;width:16682;height:6525;visibility:visible;mso-wrap-style:square;v-text-anchor:top" coordsize="248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" path="m2185,917l,46,329,,2483,860r-298,57xe" fillcolor="#989797" stroked="f">
                  <v:path arrowok="t" o:connecttype="custom" o:connectlocs="2185,917;0,46;329,0;2483,860;2185,917" o:connectangles="0,0,0,0,0"/>
                </v:shape>
                <v:shape id="Freeform 98" o:spid="_x0000_s1157" style="position:absolute;left:18559;top:2667;width:16561;height:6492;visibility:visible;mso-wrap-style:square;v-text-anchor:top" coordsize="2465,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" path="m2169,912l,46,327,,2465,855r-296,57xe" fillcolor="#979696" stroked="f">
                  <v:path arrowok="t" o:connecttype="custom" o:connectlocs="2169,912;0,46;327,0;2465,855;2169,912" o:connectangles="0,0,0,0,0"/>
                </v:shape>
                <v:shape id="Freeform 99" o:spid="_x0000_s1158" style="position:absolute;left:19660;top:2524;width:16475;height:6445;visibility:visible;mso-wrap-style:square;v-text-anchor:top" coordsize="2450,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" path="m2154,905l,45,327,,2450,847r-296,58xe" fillcolor="#969595" stroked="f">
                  <v:path arrowok="t" o:connecttype="custom" o:connectlocs="2154,905;0,45;327,0;2450,847;2154,905" o:connectangles="0,0,0,0,0"/>
                </v:shape>
                <v:shape id="Freeform 100" o:spid="_x0000_s1159" style="position:absolute;left:20760;top:2349;width:16373;height:6398;visibility:visible;mso-wrap-style:square;v-text-anchor:top" coordsize="2436,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" path="m2138,900l,45,329,,2436,841r-298,59xe" fillcolor="#959493" stroked="f">
                  <v:path arrowok="t" o:connecttype="custom" o:connectlocs="2138,900;0,45;329,0;2436,841;2138,900" o:connectangles="0,0,0,0,0"/>
                </v:shape>
                <v:shape id="Freeform 101" o:spid="_x0000_s1160" style="position:absolute;left:21861;top:2190;width:16269;height:6350;visibility:visible;mso-wrap-style:square;v-text-anchor:top" coordsize="2421,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" path="m2123,893l,46,329,,2421,835r-298,58xe" fillcolor="#949393" stroked="f">
                  <v:path arrowok="t" o:connecttype="custom" o:connectlocs="2123,893;0,46;329,0;2421,835;2123,893" o:connectangles="0,0,0,0,0"/>
                </v:shape>
                <v:shape id="Freeform 102" o:spid="_x0000_s1161" style="position:absolute;left:22962;top:2032;width:16183;height:6318;visibility:visible;mso-wrap-style:square;v-text-anchor:top" coordsize="2404,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" path="m2107,887l,46,327,,2404,829r-297,58xe" fillcolor="#949292" stroked="f">
                  <v:path arrowok="t" o:connecttype="custom" o:connectlocs="2107,887;0,46;327,0;2404,829;2107,887" o:connectangles="0,0,0,0,0"/>
                </v:shape>
                <v:shape id="Freeform 103" o:spid="_x0000_s1162" style="position:absolute;left:24079;top:1873;width:16046;height:6255;visibility:visible;mso-wrap-style:square;v-text-anchor:top" coordsize="238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" path="m2092,880l,45,328,,2389,823r-297,57xe" fillcolor="#939291" stroked="f">
                  <v:path arrowok="t" o:connecttype="custom" o:connectlocs="2092,880;0,45;328,0;2389,823;2092,880" o:connectangles="0,0,0,0,0"/>
                </v:shape>
                <v:shape id="Freeform 104" o:spid="_x0000_s1163" style="position:absolute;left:25163;top:1714;width:15977;height:6207;visibility:visible;mso-wrap-style:square;v-text-anchor:top" coordsize="2375,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" path="m2077,874l,45,329,,2375,816r-298,58xe" fillcolor="#929190" stroked="f">
                  <v:path arrowok="t" o:connecttype="custom" o:connectlocs="2077,874;0,45;329,0;2375,816;2077,874" o:connectangles="0,0,0,0,0"/>
                </v:shape>
                <v:shape id="Freeform 105" o:spid="_x0000_s1164" style="position:absolute;left:26264;top:1539;width:15856;height:6192;visibility:visible;mso-wrap-style:square;v-text-anchor:top" coordsize="2358,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" path="m2061,869l,46,327,,2358,811r-297,58xe" fillcolor="#919090" stroked="f">
                  <v:path arrowok="t" o:connecttype="custom" o:connectlocs="2061,869;0,46;327,0;2358,811;2061,869" o:connectangles="0,0,0,0,0"/>
                </v:shape>
                <v:shape id="Freeform 106" o:spid="_x0000_s1165" style="position:absolute;left:27381;top:1381;width:15754;height:6127;visibility:visible;mso-wrap-style:square;v-text-anchor:top" coordsize="2342,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" path="m2046,862l,46,327,,2342,805r-296,57xe" fillcolor="#91908f" stroked="f">
                  <v:path arrowok="t" o:connecttype="custom" o:connectlocs="2046,862;0,46;327,0;2342,805;2046,862" o:connectangles="0,0,0,0,0"/>
                </v:shape>
                <v:shape id="Freeform 107" o:spid="_x0000_s1166" style="position:absolute;left:28465;top:1222;width:15650;height:6096;visibility:visible;mso-wrap-style:square;v-text-anchor:top" coordsize="2328,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" path="m2031,857l,46,329,,2328,798r-297,59xe" fillcolor="#908f8e" stroked="f">
                  <v:path arrowok="t" o:connecttype="custom" o:connectlocs="2031,857;0,46;329,0;2328,798;2031,857" o:connectangles="0,0,0,0,0"/>
                </v:shape>
                <v:shape id="Freeform 108" o:spid="_x0000_s1167" style="position:absolute;left:29583;top:1063;width:15547;height:6049;visibility:visible;mso-wrap-style:square;v-text-anchor:top" coordsize="231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" path="m2015,850l,45,329,,2313,792r-298,58xe" fillcolor="#8f8e8d" stroked="f">
                  <v:path arrowok="t" o:connecttype="custom" o:connectlocs="2015,850;0,45;329,0;2313,792;2015,850" o:connectangles="0,0,0,0,0"/>
                </v:shape>
                <v:shape id="Freeform 109" o:spid="_x0000_s1168" style="position:absolute;left:30683;top:889;width:15444;height:6000;visibility:visible;mso-wrap-style:square;v-text-anchor:top" coordsize="2297,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" path="m1999,843l,45,327,,2297,785r-298,58xe" fillcolor="#8e8d8d" stroked="f">
                  <v:path arrowok="t" o:connecttype="custom" o:connectlocs="1999,843;0,45;327,0;2297,785;1999,843" o:connectangles="0,0,0,0,0"/>
                </v:shape>
                <v:shape id="Freeform 156" o:spid="_x0000_s1169" style="position:absolute;left:31801;top:730;width:15324;height:5969;visibility:visible;mso-wrap-style:square;v-text-anchor:top" coordsize="2282,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" path="m1984,838l,46,327,,2282,780r-298,58xe" fillcolor="#8e8d8c" stroked="f">
                  <v:path arrowok="t" o:connecttype="custom" o:connectlocs="1984,838;0,46;327,0;2282,780;1984,838" o:connectangles="0,0,0,0,0"/>
                </v:shape>
                <v:shape id="Freeform 157" o:spid="_x0000_s1170" style="position:absolute;left:32885;top:571;width:15220;height:5921;visibility:visible;mso-wrap-style:square;v-text-anchor:top" coordsize="2266,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" path="m1970,831l,46,329,,2266,774r-296,57xe" fillcolor="#8d8c8b" stroked="f">
                  <v:path arrowok="t" o:connecttype="custom" o:connectlocs="1970,831;0,46;329,0;2266,774;1970,831" o:connectangles="0,0,0,0,0"/>
                </v:shape>
                <v:shape id="Freeform 158" o:spid="_x0000_s1171" style="position:absolute;left:34003;top:412;width:15117;height:5858;visibility:visible;mso-wrap-style:square;v-text-anchor:top" coordsize="2251,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" path="m1955,826l,46,328,,2251,767r-296,59xe" fillcolor="#8c8b8a" stroked="f">
                  <v:path arrowok="t" o:connecttype="custom" o:connectlocs="1955,826;0,46;328,0;2251,767;1955,826" o:connectangles="0,0,0,0,0"/>
                </v:shape>
                <v:shape id="Freeform 159" o:spid="_x0000_s1172" style="position:absolute;left:35103;top:254;width:15031;height:5826;visibility:visible;mso-wrap-style:square;v-text-anchor:top" coordsize="223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" path="m1937,819l,45,327,,2235,761r-298,58xe" fillcolor="#8b8a8a" stroked="f">
                  <v:path arrowok="t" o:connecttype="custom" o:connectlocs="1937,819;0,45;327,0;2235,761;1937,819" o:connectangles="0,0,0,0,0"/>
                </v:shape>
                <v:shape id="Freeform 160" o:spid="_x0000_s1173" style="position:absolute;left:36187;top:79;width:14928;height:5794;visibility:visible;mso-wrap-style:square;v-text-anchor:top" coordsize="2221,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" path="m1923,812l,45,327,,2221,755r-298,57xe" fillcolor="#8b8989" stroked="f">
                  <v:path arrowok="t" o:connecttype="custom" o:connectlocs="1923,812;0,45;327,0;2221,755;1923,812" o:connectangles="0,0,0,0,0"/>
                </v:shape>
                <v:shape id="Freeform 161" o:spid="_x0000_s1174" style="position:absolute;left:37305;width:14291;height:5651;visibility:visible;mso-wrap-style:square;v-text-anchor:top" coordsize="212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" path="m1908,795l,34,241,,2127,752r-219,43xe" fillcolor="#8a8988" stroked="f">
                  <v:path arrowok="t" o:connecttype="custom" o:connectlocs="1908,795;0,34;241,0;2127,752;1908,795" o:connectangles="0,0,0,0,0"/>
                </v:shape>
                <v:shape id="Freeform 162" o:spid="_x0000_s1175" style="position:absolute;left:38388;width:13208;height:5461;visibility:visible;mso-wrap-style:square;v-text-anchor:top" coordsize="196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" path="m1894,766l,11,78,,1964,752r-70,14xe" fillcolor="#898887" stroked="f">
                  <v:path arrowok="t" o:connecttype="custom" o:connectlocs="1894,766;0,11;78,0;1964,752;1894,766" o:connectangles="0,0,0,0,0"/>
                </v:shape>
                <v:shape id="Freeform 163" o:spid="_x0000_s1176" style="position:absolute;left:4955;width:46641;height:11699;visibility:visible;mso-wrap-style:square;v-text-anchor:top" coordsize="6937,1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" path="m,703l5051,,6937,752,2357,1644,,703xe" fillcolor="#bfbfbf [2412]" strokecolor="#1f1a17" strokeweight=".5pt">
                  <v:path arrowok="t" o:connecttype="custom" o:connectlocs="0,703;5051,0;6937,752;2357,1644;0,703" o:connectangles="0,0,0,0,0"/>
                </v:shape>
                <v:shape id="Freeform 164" o:spid="_x0000_s1177" style="position:absolute;left:20812;top:11334;width:12571;height:21416;visibility:visible;mso-wrap-style:square;v-text-anchor:top" coordsize="1871,3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" path="m266,l1871,2925r-247,86l,52,266,xe" fillcolor="#a2a1a0" stroked="f">
                  <v:path arrowok="t" o:connecttype="custom" o:connectlocs="266,0;1871,2925;1624,3011;0,52;266,0" o:connectangles="0,0,0,0,0"/>
                </v:shape>
                <v:shape id="Freeform 165" o:spid="_x0000_s1178" style="position:absolute;left:21620;top:11112;width:12658;height:21368;visibility:visible;mso-wrap-style:square;v-text-anchor:top" coordsize="1884,3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" path="m1616,3001l,57,290,,1884,2907r-268,94xe" fillcolor="#a1a09f" stroked="f">
                  <v:path arrowok="t" o:connecttype="custom" o:connectlocs="1616,3001;0,57;290,0;1884,2907;1616,3001" o:connectangles="0,0,0,0,0"/>
                </v:shape>
                <v:shape id="Freeform 166" o:spid="_x0000_s1179" style="position:absolute;left:22600;top:10922;width:12589;height:21209;visibility:visible;mso-wrap-style:square;v-text-anchor:top" coordsize="1873,2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" path="m1605,2982l,57,288,,1873,2888r-268,94xe" fillcolor="#a09f9f" stroked="f">
                  <v:path arrowok="t" o:connecttype="custom" o:connectlocs="1605,2982;0,57;288,0;1873,2888;1605,2982" o:connectangles="0,0,0,0,0"/>
                </v:shape>
                <v:shape id="Freeform 167" o:spid="_x0000_s1180" style="position:absolute;left:23563;top:10731;width:12521;height:21066;visibility:visible;mso-wrap-style:square;v-text-anchor:top" coordsize="1862,2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" path="m1594,2962l,55,288,,1862,2868r-268,94xe" fillcolor="#9f9e9e" stroked="f">
                  <v:path arrowok="t" o:connecttype="custom" o:connectlocs="1594,2962;0,55;288,0;1862,2868;1594,2962" o:connectangles="0,0,0,0,0"/>
                </v:shape>
                <v:shape id="Freeform 168" o:spid="_x0000_s1181" style="position:absolute;left:24544;top:10541;width:12434;height:20939;visibility:visible;mso-wrap-style:square;v-text-anchor:top" coordsize="1853,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" path="m1585,2943l,55,290,,1853,2849r-268,94xe" fillcolor="#9f9e9d" stroked="f">
                  <v:path arrowok="t" o:connecttype="custom" o:connectlocs="1585,2943;0,55;290,0;1853,2849;1585,2943" o:connectangles="0,0,0,0,0"/>
                </v:shape>
                <v:shape id="Freeform 169" o:spid="_x0000_s1182" style="position:absolute;left:25507;top:10334;width:12400;height:20796;visibility:visible;mso-wrap-style:square;v-text-anchor:top" coordsize="1844,2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" path="m1574,2924l,56,290,,1844,2830r-270,94xe" fillcolor="#9e9d9c" stroked="f">
                  <v:path arrowok="t" o:connecttype="custom" o:connectlocs="1574,2924;0,56;290,0;1844,2830;1574,2924" o:connectangles="0,0,0,0,0"/>
                </v:shape>
                <v:shape id="Freeform 170" o:spid="_x0000_s1183" style="position:absolute;left:26470;top:10128;width:12331;height:20669;visibility:visible;mso-wrap-style:square;v-text-anchor:top" coordsize="1833,2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" path="m1563,2905l,56,288,,1833,2812r-270,93xe" fillcolor="#9d9c9b" stroked="f">
                  <v:path arrowok="t" o:connecttype="custom" o:connectlocs="1563,2905;0,56;288,0;1833,2812;1563,2905" o:connectangles="0,0,0,0,0"/>
                </v:shape>
                <v:shape id="Freeform 171" o:spid="_x0000_s1184" style="position:absolute;left:27467;top:9937;width:12228;height:20527;visibility:visible;mso-wrap-style:square;v-text-anchor:top" coordsize="1822,2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" path="m1554,2886l,56,288,,1822,2793r-268,93xe" fillcolor="#9c9b9b" stroked="f">
                  <v:path arrowok="t" o:connecttype="custom" o:connectlocs="1554,2886;0,56;288,0;1822,2793;1554,2886" o:connectangles="0,0,0,0,0"/>
                </v:shape>
                <v:shape id="Freeform 172" o:spid="_x0000_s1185" style="position:absolute;left:28413;top:9731;width:12194;height:20399;visibility:visible;mso-wrap-style:square;v-text-anchor:top" coordsize="1813,2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" path="m1545,2868l,56,290,,1813,2775r-268,93xe" fillcolor="#9b9a9a" stroked="f">
                  <v:path arrowok="t" o:connecttype="custom" o:connectlocs="1545,2868;0,56;290,0;1813,2775;1545,2868" o:connectangles="0,0,0,0,0"/>
                </v:shape>
                <v:shape id="Freeform 173" o:spid="_x0000_s1186" style="position:absolute;left:29394;top:9540;width:12107;height:20273;visibility:visible;mso-wrap-style:square;v-text-anchor:top" coordsize="1802,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" path="m1534,2850l,57,288,,1802,2757r-268,93xe" fillcolor="#9b9a99" stroked="f">
                  <v:path arrowok="t" o:connecttype="custom" o:connectlocs="1534,2850;0,57;288,0;1802,2757;1534,2850" o:connectangles="0,0,0,0,0"/>
                </v:shape>
                <v:shape id="Freeform 174" o:spid="_x0000_s1187" style="position:absolute;left:30357;top:9318;width:12038;height:20146;visibility:visible;mso-wrap-style:square;v-text-anchor:top" coordsize="1791,2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" path="m1523,2832l,57,288,,1791,2738r-268,94xe" fillcolor="#9a9998" stroked="f">
                  <v:path arrowok="t" o:connecttype="custom" o:connectlocs="1523,2832;0,57;288,0;1791,2738;1523,2832" o:connectangles="0,0,0,0,0"/>
                </v:shape>
                <v:shape id="Freeform 175" o:spid="_x0000_s1188" style="position:absolute;left:31337;top:9128;width:11970;height:20018;visibility:visible;mso-wrap-style:square;v-text-anchor:top" coordsize="1782,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" path="m1514,2813l,56,290,,1782,2719r-268,94xe" fillcolor="#999897" stroked="f">
                  <v:path arrowok="t" o:connecttype="custom" o:connectlocs="1514,2813;0,56;290,0;1782,2719;1514,2813" o:connectangles="0,0,0,0,0"/>
                </v:shape>
                <v:shape id="Freeform 176" o:spid="_x0000_s1189" style="position:absolute;left:32300;top:8937;width:11901;height:19876;visibility:visible;mso-wrap-style:square;v-text-anchor:top" coordsize="1771,2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" path="m1503,2794l,56,288,,1771,2700r-268,94xe" fillcolor="#989797" stroked="f">
                  <v:path arrowok="t" o:connecttype="custom" o:connectlocs="1503,2794;0,56;288,0;1771,2700;1503,2794" o:connectangles="0,0,0,0,0"/>
                </v:shape>
                <v:shape id="Freeform 177" o:spid="_x0000_s1190" style="position:absolute;left:33263;top:8731;width:11849;height:19732;visibility:visible;mso-wrap-style:square;v-text-anchor:top" coordsize="1761,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" path="m1492,2775l,56,288,,1761,2681r-269,94xe" fillcolor="#979696" stroked="f">
                  <v:path arrowok="t" o:connecttype="custom" o:connectlocs="1492,2775;0,56;288,0;1761,2681;1492,2775" o:connectangles="0,0,0,0,0"/>
                </v:shape>
                <v:shape id="Freeform 178" o:spid="_x0000_s1191" style="position:absolute;left:34243;top:8540;width:11764;height:19606;visibility:visible;mso-wrap-style:square;v-text-anchor:top" coordsize="1752,2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" path="m1483,2756l,56,290,,1752,2662r-269,94xe" fillcolor="#969595" stroked="f">
                  <v:path arrowok="t" o:connecttype="custom" o:connectlocs="1483,2756;0,56;290,0;1752,2662;1483,2756" o:connectangles="0,0,0,0,0"/>
                </v:shape>
                <v:shape id="Freeform 179" o:spid="_x0000_s1192" style="position:absolute;left:35206;top:8350;width:11712;height:19447;visibility:visible;mso-wrap-style:square;v-text-anchor:top" coordsize="1741,2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" path="m1473,2737l,56,290,,1741,2644r-268,93xe" fillcolor="#959493" stroked="f">
                  <v:path arrowok="t" o:connecttype="custom" o:connectlocs="1473,2737;0,56;290,0;1741,2644;1473,2737" o:connectangles="0,0,0,0,0"/>
                </v:shape>
                <v:shape id="Freeform 180" o:spid="_x0000_s1193" style="position:absolute;left:36187;top:8128;width:11626;height:19335;visibility:visible;mso-wrap-style:square;v-text-anchor:top" coordsize="1730,2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" path="m1462,2719l,57,288,,1730,2627r-268,92xe" fillcolor="#949393" stroked="f">
                  <v:path arrowok="t" o:connecttype="custom" o:connectlocs="1462,2719;0,57;288,0;1730,2627;1462,2719" o:connectangles="0,0,0,0,0"/>
                </v:shape>
                <v:shape id="Freeform 181" o:spid="_x0000_s1194" style="position:absolute;left:37167;top:7937;width:11540;height:19209;visibility:visible;mso-wrap-style:square;v-text-anchor:top" coordsize="1719,2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" path="m1451,2701l,57,288,,1719,2608r-268,93xe" fillcolor="#949292" stroked="f">
                  <v:path arrowok="t" o:connecttype="custom" o:connectlocs="1451,2701;0,57;288,0;1719,2608;1451,2701" o:connectangles="0,0,0,0,0"/>
                </v:shape>
                <v:shape id="Freeform 182" o:spid="_x0000_s1195" style="position:absolute;left:38130;top:7731;width:11488;height:19097;visibility:visible;mso-wrap-style:square;v-text-anchor:top" coordsize="1710,2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" path="m1442,2683l,56,290,,1710,2589r-268,94xe" fillcolor="#939291" stroked="f">
                  <v:path arrowok="t" o:connecttype="custom" o:connectlocs="1442,2683;0,56;290,0;1710,2589;1442,2683" o:connectangles="0,0,0,0,0"/>
                </v:shape>
                <v:shape id="Freeform 183" o:spid="_x0000_s1196" style="position:absolute;left:39093;top:7524;width:11420;height:18955;visibility:visible;mso-wrap-style:square;v-text-anchor:top" coordsize="1699,2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" path="m1431,2664l,56,288,,1699,2570r-268,94xe" fillcolor="#929190" stroked="f">
                  <v:path arrowok="t" o:connecttype="custom" o:connectlocs="1431,2664;0,56;288,0;1699,2570;1431,2664" o:connectangles="0,0,0,0,0"/>
                </v:shape>
                <v:shape id="Freeform 184" o:spid="_x0000_s1197" style="position:absolute;left:40056;top:7334;width:11368;height:18812;visibility:visible;mso-wrap-style:square;v-text-anchor:top" coordsize="1688,2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" path="m1420,2645l,56,288,,1688,2551r-268,94xe" fillcolor="#919090" stroked="f">
                  <v:path arrowok="t" o:connecttype="custom" o:connectlocs="1420,2645;0,56;288,0;1688,2551;1420,2645" o:connectangles="0,0,0,0,0"/>
                </v:shape>
                <v:shape id="Freeform 185" o:spid="_x0000_s1198" style="position:absolute;left:41037;top:7127;width:11281;height:18685;visibility:visible;mso-wrap-style:square;v-text-anchor:top" coordsize="1681,2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" path="m1411,2626l,56,290,,1681,2532r-270,94xe" fillcolor="#91908f" stroked="f">
                  <v:path arrowok="t" o:connecttype="custom" o:connectlocs="1411,2626;0,56;290,0;1681,2532;1411,2626" o:connectangles="0,0,0,0,0"/>
                </v:shape>
                <v:shape id="Freeform 186" o:spid="_x0000_s1199" style="position:absolute;left:42000;top:6937;width:11230;height:18542;visibility:visible;mso-wrap-style:square;v-text-anchor:top" coordsize="1670,2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" path="m1400,2608l,57,290,,1670,2514r-270,94xe" fillcolor="#908f8e" stroked="f">
                  <v:path arrowok="t" o:connecttype="custom" o:connectlocs="1400,2608;0,57;290,0;1670,2514;1400,2608" o:connectangles="0,0,0,0,0"/>
                </v:shape>
                <v:shape id="Freeform 187" o:spid="_x0000_s1200" style="position:absolute;left:42980;top:6715;width:11161;height:18415;visibility:visible;mso-wrap-style:square;v-text-anchor:top" coordsize="1659,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" path="m1391,2589l,57,288,,1659,2495r-268,94xe" fillcolor="#8f8e8d" stroked="f">
                  <v:path arrowok="t" o:connecttype="custom" o:connectlocs="1391,2589;0,57;288,0;1659,2495;1391,2589" o:connectangles="0,0,0,0,0"/>
                </v:shape>
                <v:shape id="Freeform 188" o:spid="_x0000_s1201" style="position:absolute;left:43960;top:6524;width:11076;height:18288;visibility:visible;mso-wrap-style:square;v-text-anchor:top" coordsize="1648,2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" path="m1380,2570l,56,288,,1648,2477r-268,93xe" fillcolor="#8e8d8d" stroked="f">
                  <v:path arrowok="t" o:connecttype="custom" o:connectlocs="1380,2570;0,56;288,0;1648,2477;1380,2570" o:connectangles="0,0,0,0,0"/>
                </v:shape>
                <v:shape id="Freeform 189" o:spid="_x0000_s1202" style="position:absolute;left:44923;top:6334;width:11007;height:18145;visibility:visible;mso-wrap-style:square;v-text-anchor:top" coordsize="1639,2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" path="m1371,2551l,56,290,,1639,2459r-268,92xe" fillcolor="#8e8d8c" stroked="f">
                  <v:path arrowok="t" o:connecttype="custom" o:connectlocs="1371,2551;0,56;290,0;1639,2459;1371,2551" o:connectangles="0,0,0,0,0"/>
                </v:shape>
                <v:shape id="Freeform 190" o:spid="_x0000_s1203" style="position:absolute;left:45886;top:6127;width:10955;height:18034;visibility:visible;mso-wrap-style:square;v-text-anchor:top" coordsize="1628,2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" path="m1360,2533l,56,289,,1628,2440r-268,93xe" fillcolor="#8d8c8b" stroked="f">
                  <v:path arrowok="t" o:connecttype="custom" o:connectlocs="1360,2533;0,56;289,0;1628,2440;1360,2533" o:connectangles="0,0,0,0,0"/>
                </v:shape>
                <v:shape id="Freeform 191" o:spid="_x0000_s1204" style="position:absolute;left:46867;top:5937;width:10869;height:17875;visibility:visible;mso-wrap-style:square;v-text-anchor:top" coordsize="1617,2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" path="m1349,2515l,56,288,,1617,2421r-268,94xe" fillcolor="#8c8b8a" stroked="f">
                  <v:path arrowok="t" o:connecttype="custom" o:connectlocs="1349,2515;0,56;288,0;1617,2421;1349,2515" o:connectangles="0,0,0,0,0"/>
                </v:shape>
                <v:shape id="Freeform 192" o:spid="_x0000_s1205" style="position:absolute;left:48793;top:5524;width:10749;height:17621;visibility:visible;mso-wrap-style:square;v-text-anchor:top" coordsize="1597,2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" path="m1329,2478l,57,289,,1597,2384r-268,94xe" fillcolor="#8b8989" stroked="f">
                  <v:path arrowok="t" o:connecttype="custom" o:connectlocs="1329,2478;0,57;289,0;1597,2384;1329,2478" o:connectangles="0,0,0,0,0"/>
                </v:shape>
                <v:shape id="Freeform 193" o:spid="_x0000_s1206" style="position:absolute;left:49790;top:5349;width:10543;height:17463;visibility:visible;mso-wrap-style:square;v-text-anchor:top" coordsize="1569,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" path="m1318,2455l,53,270,,1569,2368r,l1318,2455xe" fillcolor="#8a8988" stroked="f">
                  <v:path arrowok="t" o:connecttype="custom" o:connectlocs="1318,2455;0,53;270,0;1569,2368;1569,2368;1318,2455" o:connectangles="0,0,0,0,0,0"/>
                </v:shape>
                <v:shape id="Freeform 194" o:spid="_x0000_s1207" style="position:absolute;left:50753;top:5349;width:9580;height:17145;visibility:visible;mso-wrap-style:square;v-text-anchor:top" coordsize="1425,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" path="m1308,2408l,24,126,,1425,2368r,l1308,2408xe" fillcolor="#898887" stroked="f">
                  <v:path arrowok="t" o:connecttype="custom" o:connectlocs="1308,2408;0,24;126,0;1425,2368;1425,2368;1308,2408" o:connectangles="0,0,0,0,0,0"/>
                </v:shape>
                <v:shape id="Freeform 195" o:spid="_x0000_s1208" style="position:absolute;left:20812;top:5349;width:39521;height:27401;visibility:visible;mso-wrap-style:square;v-text-anchor:top" coordsize="5879,3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" path="m,892l4580,,5879,2368,1624,3851,,892xe" fillcolor="#bfbfbf [2412]" strokecolor="#1f1a17" strokeweight=".5pt">
                  <v:path arrowok="t" o:connecttype="custom" o:connectlocs="0,892;4580,0;5879,2368;1624,3851;0,892" o:connectangles="0,0,0,0,0"/>
                </v:shape>
                <v:shape id="Freeform 196" o:spid="_x0000_s1209" style="position:absolute;left:4955;top:5016;width:26760;height:27734;visibility:visible;mso-wrap-style:square;v-text-anchor:top" coordsize="3981,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" path="m,l2357,941,3981,3900,,2294,,xe" fillcolor="#aaa9a9" stroked="f">
                  <v:path arrowok="t" o:connecttype="custom" o:connectlocs="0,0;2357,941;3981,3900;0,2294;0,0" o:connectangles="0,0,0,0,0"/>
                </v:shape>
                <v:shape id="Freeform 197" o:spid="_x0000_s1210" style="position:absolute;left:4955;top:5016;width:26760;height:27734;visibility:visible;mso-wrap-style:square;v-text-anchor:top" coordsize="3981,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" path="m,l2357,941,3981,3900,,2294,,xe" fillcolor="#bfbfbf [2412]" strokecolor="#1f1a17" strokeweight=".5pt">
                  <v:path arrowok="t" o:connecttype="custom" o:connectlocs="0,0;2357,941;3981,3900;0,2294;0,0" o:connectangles="0,0,0,0,0"/>
                </v:shape>
                <v:group id="Group 2047755259" o:spid="_x0000_s1211" style="position:absolute;left:35446;top:11461;width:52368;height:34338" coordorigin="35516,11493" coordsize="3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">
                  <v:shape id="Freeform 199" o:spid="_x0000_s1212" style="position:absolute;left:35519;top:11496;width:16;height:8;visibility:visible;mso-wrap-style:square;v-text-anchor:top" coordsize="4209,1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" path="m3897,1672l,75,379,,4209,1570r-312,102xe" fillcolor="#9b9a9a" stroked="f">
                    <v:path arrowok="t" o:connecttype="custom" o:connectlocs="3897,1672;0,75;379,0;4209,1570;3897,1672" o:connectangles="0,0,0,0,0"/>
                  </v:shape>
                  <v:shape id="Freeform 200" o:spid="_x0000_s1213" style="position:absolute;left:35519;top:11496;width:17;height:7;visibility:visible;mso-wrap-style:square;v-text-anchor:top" coordsize="4175,1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" path="m3864,1657l,74,378,,4175,1555r-311,102xe" fillcolor="#9b9a99" stroked="f">
                    <v:path arrowok="t" o:connecttype="custom" o:connectlocs="3864,1657;0,74;378,0;4175,1555;3864,1657" o:connectangles="0,0,0,0,0"/>
                  </v:shape>
                  <v:shape id="Freeform 201" o:spid="_x0000_s1214" style="position:absolute;left:35520;top:11496;width:16;height:7;visibility:visible;mso-wrap-style:square;v-text-anchor:top" coordsize="4143,1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" path="m3830,1644l,74,378,,4143,1542r-313,102xe" fillcolor="#9a9998" stroked="f">
                    <v:path arrowok="t" o:connecttype="custom" o:connectlocs="3830,1644;0,74;378,0;4143,1542;3830,1644" o:connectangles="0,0,0,0,0"/>
                  </v:shape>
                  <v:shape id="Freeform 202" o:spid="_x0000_s1215" style="position:absolute;left:35521;top:11496;width:16;height:7;visibility:visible;mso-wrap-style:square;v-text-anchor:top" coordsize="4109,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" path="m3797,1630l,75,379,,4109,1528r-312,102xe" fillcolor="#999897" stroked="f">
                    <v:path arrowok="t" o:connecttype="custom" o:connectlocs="3797,1630;0,75;379,0;4109,1528;3797,1630" o:connectangles="0,0,0,0,0"/>
                  </v:shape>
                  <v:shape id="Freeform 203" o:spid="_x0000_s1216" style="position:absolute;left:35522;top:11495;width:16;height:8;visibility:visible;mso-wrap-style:square;v-text-anchor:top" coordsize="4076,1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" path="m3765,1617l,75,379,,4076,1515r-311,102xe" fillcolor="#989797" stroked="f">
                    <v:path arrowok="t" o:connecttype="custom" o:connectlocs="3765,1617;0,75;379,0;4076,1515;3765,1617" o:connectangles="0,0,0,0,0"/>
                  </v:shape>
                  <v:shape id="Freeform 204" o:spid="_x0000_s1217" style="position:absolute;left:35522;top:11495;width:16;height:7;visibility:visible;mso-wrap-style:square;v-text-anchor:top" coordsize="4043,1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" path="m3730,1602l,74,378,,4043,1502r-313,100xe" fillcolor="#979696" stroked="f">
                    <v:path arrowok="t" o:connecttype="custom" o:connectlocs="3730,1602;0,74;378,0;4043,1502;3730,1602" o:connectangles="0,0,0,0,0"/>
                  </v:shape>
                  <v:shape id="Freeform 205" o:spid="_x0000_s1218" style="position:absolute;left:35523;top:11495;width:16;height:7;visibility:visible;mso-wrap-style:square;v-text-anchor:top" coordsize="4009,1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" path="m3697,1589l,74,379,,4009,1489r-312,100xe" fillcolor="#969595" stroked="f">
                    <v:path arrowok="t" o:connecttype="custom" o:connectlocs="3697,1589;0,74;379,0;4009,1489;3697,1589" o:connectangles="0,0,0,0,0"/>
                  </v:shape>
                  <v:shape id="Freeform 206" o:spid="_x0000_s1219" style="position:absolute;left:35524;top:11495;width:15;height:7;visibility:visible;mso-wrap-style:square;v-text-anchor:top" coordsize="3976,1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" path="m3665,1577l,75,379,,3976,1475r-311,102xe" fillcolor="#959493" stroked="f">
                    <v:path arrowok="t" o:connecttype="custom" o:connectlocs="3665,1577;0,75;379,0;3976,1475;3665,1577" o:connectangles="0,0,0,0,0"/>
                  </v:shape>
                  <v:shape id="Freeform 207" o:spid="_x0000_s1220" style="position:absolute;left:35525;top:11495;width:15;height:7;visibility:visible;mso-wrap-style:square;v-text-anchor:top" coordsize="3943,1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" path="m3630,1564l,75,378,,3943,1462r-313,102xe" fillcolor="#949393" stroked="f">
                    <v:path arrowok="t" o:connecttype="custom" o:connectlocs="3630,1564;0,75;378,0;3943,1462;3630,1564" o:connectangles="0,0,0,0,0"/>
                  </v:shape>
                  <v:shape id="Freeform 208" o:spid="_x0000_s1221" style="position:absolute;left:35525;top:11495;width:16;height:7;visibility:visible;mso-wrap-style:square;v-text-anchor:top" coordsize="3909,1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" path="m3597,1549l,74,378,,3909,1447r-312,102xe" fillcolor="#949292" stroked="f">
                    <v:path arrowok="t" o:connecttype="custom" o:connectlocs="3597,1549;0,74;378,0;3909,1447;3597,1549" o:connectangles="0,0,0,0,0"/>
                  </v:shape>
                  <v:shape id="Freeform 209" o:spid="_x0000_s1222" style="position:absolute;left:35526;top:11494;width:15;height:7;visibility:visible;mso-wrap-style:square;v-text-anchor:top" coordsize="3876,1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" path="m3565,1535l,73,378,,3876,1433r-311,102xe" fillcolor="#939291" stroked="f">
                    <v:path arrowok="t" o:connecttype="custom" o:connectlocs="3565,1535;0,73;378,0;3876,1433;3565,1535" o:connectangles="0,0,0,0,0"/>
                  </v:shape>
                  <v:shape id="Freeform 210" o:spid="_x0000_s1223" style="position:absolute;left:35527;top:11494;width:15;height:7;visibility:visible;mso-wrap-style:square;v-text-anchor:top" coordsize="3844,1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" path="m3531,1522l,75,379,,3844,1420r-313,102xe" fillcolor="#929190" stroked="f">
                    <v:path arrowok="t" o:connecttype="custom" o:connectlocs="3531,1522;0,75;379,0;3844,1420;3531,1522" o:connectangles="0,0,0,0,0"/>
                  </v:shape>
                  <v:shape id="Freeform 211" o:spid="_x0000_s1224" style="position:absolute;left:35528;top:11494;width:14;height:7;visibility:visible;mso-wrap-style:square;v-text-anchor:top" coordsize="3810,1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" path="m3498,1508l,75,380,,3810,1406r-312,102xe" fillcolor="#919090" stroked="f">
                    <v:path arrowok="t" o:connecttype="custom" o:connectlocs="3498,1508;0,75;380,0;3810,1406;3498,1508" o:connectangles="0,0,0,0,0"/>
                  </v:shape>
                  <v:shape id="Freeform 212" o:spid="_x0000_s1225" style="position:absolute;left:35528;top:11494;width:15;height:7;visibility:visible;mso-wrap-style:square;v-text-anchor:top" coordsize="3777,1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" path="m3465,1494l,74,379,,3777,1392r-312,102xe" fillcolor="#91908f" stroked="f">
                    <v:path arrowok="t" o:connecttype="custom" o:connectlocs="3465,1494;0,74;379,0;3777,1392;3465,1494" o:connectangles="0,0,0,0,0"/>
                  </v:shape>
                  <v:shape id="Freeform 213" o:spid="_x0000_s1226" style="position:absolute;left:35529;top:11494;width:15;height:6;visibility:visible;mso-wrap-style:square;v-text-anchor:top" coordsize="3743,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" path="m3430,1480l,74,378,,3743,1378r-313,102xe" fillcolor="#908f8e" stroked="f">
                    <v:path arrowok="t" o:connecttype="custom" o:connectlocs="3430,1480;0,74;378,0;3743,1378;3430,1480" o:connectangles="0,0,0,0,0"/>
                  </v:shape>
                  <v:shape id="Freeform 214" o:spid="_x0000_s1227" style="position:absolute;left:35530;top:11494;width:14;height:6;visibility:visible;mso-wrap-style:square;v-text-anchor:top" coordsize="3709,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" path="m3398,1467l,75,378,,3709,1365r-311,102xe" fillcolor="#8f8e8d" stroked="f">
                    <v:path arrowok="t" o:connecttype="custom" o:connectlocs="3398,1467;0,75;378,0;3709,1365;3398,1467" o:connectangles="0,0,0,0,0"/>
                  </v:shape>
                  <v:shape id="Freeform 215" o:spid="_x0000_s1228" style="position:absolute;left:35531;top:11493;width:14;height:7;visibility:visible;mso-wrap-style:square;v-text-anchor:top" coordsize="3677,1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" path="m3365,1453l,75,378,,3677,1353r-312,100xe" fillcolor="#8e8d8d" stroked="f">
                    <v:path arrowok="t" o:connecttype="custom" o:connectlocs="3365,1453;0,75;378,0;3677,1353;3365,1453" o:connectangles="0,0,0,0,0"/>
                  </v:shape>
                  <v:shape id="Freeform 216" o:spid="_x0000_s1229" style="position:absolute;left:35516;top:11493;width:30;height:11;visibility:visible;mso-wrap-style:square;v-text-anchor:top" coordsize="7790,2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" path="m4018,2546l7790,1318,4576,,,899,4018,2546xe" fillcolor="#bfbfbf [2412]" strokecolor="#1f1a17" strokeweight=".5pt">
                    <v:path arrowok="t" o:connecttype="custom" o:connectlocs="4018,2546;7790,1318;4576,0;0,899;4018,2546" o:connectangles="0,0,0,0,0"/>
                  </v:shape>
                  <v:shape id="Freeform 217" o:spid="_x0000_s1230" style="position:absolute;left:35533;top:11504;width:0;height:10;visibility:visible;mso-wrap-style:square;v-text-anchor:top" coordsize="151,2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" path="m,2301l,48,151,r,2234l,2301xe" fillcolor="#a7a7a6" stroked="f">
                    <v:path arrowok="t" o:connecttype="custom" o:connectlocs="0,2301;0,48;151,0;151,2234;0,2301" o:connectangles="0,0,0,0,0"/>
                  </v:shape>
                  <v:shape id="Freeform 218" o:spid="_x0000_s1231" style="position:absolute;left:35533;top:11504;width:1;height:10;visibility:visible;mso-wrap-style:square;v-text-anchor:top" coordsize="151,2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" path="m,2293l,50,151,r,2226l,2293xe" fillcolor="#a7a6a5" stroked="f">
                    <v:path arrowok="t" o:connecttype="custom" o:connectlocs="0,2293;0,50;151,0;151,2226;0,2293" o:connectangles="0,0,0,0,0"/>
                  </v:shape>
                  <v:shape id="Freeform 219" o:spid="_x0000_s1232" style="position:absolute;left:35533;top:11504;width:1;height:10;visibility:visible;mso-wrap-style:square;v-text-anchor:top" coordsize="151,2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" path="m,2284l,50,151,r,2217l,2284xe" fillcolor="#a6a5a4" stroked="f">
                    <v:path arrowok="t" o:connecttype="custom" o:connectlocs="0,2284;0,50;151,0;151,2217;0,2284" o:connectangles="0,0,0,0,0"/>
                  </v:shape>
                  <v:shape id="Freeform 220" o:spid="_x0000_s1233" style="position:absolute;left:35534;top:11504;width:0;height:10;visibility:visible;mso-wrap-style:square;v-text-anchor:top" coordsize="150,2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" path="m,2274l,48,150,r,2207l,2274xe" fillcolor="#a5a4a3" stroked="f">
                    <v:path arrowok="t" o:connecttype="custom" o:connectlocs="0,2274;0,48;150,0;150,2207;0,2274" o:connectangles="0,0,0,0,0"/>
                  </v:shape>
                  <v:shape id="Freeform 221" o:spid="_x0000_s1234" style="position:absolute;left:35534;top:11503;width:0;height:11;visibility:visible;mso-wrap-style:square;v-text-anchor:top" coordsize="150,2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" path="m,2266l,49,150,r,2197l,2266xe" fillcolor="#a4a3a3" stroked="f">
                    <v:path arrowok="t" o:connecttype="custom" o:connectlocs="0,2266;0,49;150,0;150,2197;0,2266" o:connectangles="0,0,0,0,0"/>
                  </v:shape>
                  <v:shape id="Freeform 222" o:spid="_x0000_s1235" style="position:absolute;left:35534;top:11503;width:1;height:10;visibility:visible;mso-wrap-style:square;v-text-anchor:top" coordsize="152,2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" path="m,2256l,49,152,r,2188l,2256xe" fillcolor="#a3a2a2" stroked="f">
                    <v:path arrowok="t" o:connecttype="custom" o:connectlocs="0,2256;0,49;152,0;152,2188;0,2256" o:connectangles="0,0,0,0,0"/>
                  </v:shape>
                  <v:group id="Group 2047755284" o:spid="_x0000_s1236" style="position:absolute;left:35516;top:11493;width:30;height:22" coordorigin="35516,11493" coordsize="3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">
                    <v:shape id="Freeform 224" o:spid="_x0000_s1237" style="position:absolute;left:35543;top:11500;width:1;height:9;visibility:visible;mso-wrap-style:square;v-text-anchor:top" coordsize="152,1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" path="m,1974l,50,152,r,1905l,1974xe" fillcolor="#8b8989" stroked="f">
                      <v:path arrowok="t" o:connecttype="custom" o:connectlocs="0,1974;0,50;152,0;152,1905;0,1974" o:connectangles="0,0,0,0,0"/>
                    </v:shape>
                    <v:shape id="Freeform 225" o:spid="_x0000_s1238" style="position:absolute;left:35544;top:11500;width:0;height:9;visibility:visible;mso-wrap-style:square;v-text-anchor:top" coordsize="151,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" path="m,1963l,48,151,r,1896l,1963xe" fillcolor="#8a8988" stroked="f">
                      <v:path arrowok="t" o:connecttype="custom" o:connectlocs="0,1963;0,48;151,0;151,1896;0,1963" o:connectangles="0,0,0,0,0"/>
                    </v:shape>
                    <v:shape id="Freeform 226" o:spid="_x0000_s1239" style="position:absolute;left:35544;top:11500;width:0;height:8;visibility:visible;mso-wrap-style:square;v-text-anchor:top" coordsize="150,1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" path="m,1955l,50,150,r,1888l,1955xe" fillcolor="#898887" stroked="f">
                      <v:path arrowok="t" o:connecttype="custom" o:connectlocs="0,1955;0,50;150,0;150,1888;0,1955" o:connectangles="0,0,0,0,0"/>
                    </v:shape>
                    <v:shape id="Freeform 227" o:spid="_x0000_s1240" style="position:absolute;left:35544;top:11500;width:1;height:8;visibility:visible;mso-wrap-style:square;v-text-anchor:top" coordsize="151,1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" path="m,1946l,50,151,r,1879l,1946xe" fillcolor="#888787" stroked="f">
                      <v:path arrowok="t" o:connecttype="custom" o:connectlocs="0,1946;0,50;151,0;151,1879;0,1946" o:connectangles="0,0,0,0,0"/>
                    </v:shape>
                    <v:shape id="Freeform 228" o:spid="_x0000_s1241" style="position:absolute;left:35544;top:11499;width:1;height:9;visibility:visible;mso-wrap-style:square;v-text-anchor:top" coordsize="151,1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" path="m,1936l,48,151,r,1869l,1936xe" fillcolor="#888786" stroked="f">
                      <v:path arrowok="t" o:connecttype="custom" o:connectlocs="0,1936;0,48;151,0;151,1869;0,1936" o:connectangles="0,0,0,0,0"/>
                    </v:shape>
                    <v:shape id="Freeform 229" o:spid="_x0000_s1242" style="position:absolute;left:35545;top:11499;width:0;height:9;visibility:visible;mso-wrap-style:square;v-text-anchor:top" coordsize="150,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" path="m,1928l,49,150,r,1861l,1928xe" fillcolor="#878685" stroked="f">
                      <v:path arrowok="t" o:connecttype="custom" o:connectlocs="0,1928;0,49;150,0;150,1861;0,1928" o:connectangles="0,0,0,0,0"/>
                    </v:shape>
                    <v:shape id="Freeform 230" o:spid="_x0000_s1243" style="position:absolute;left:35545;top:11499;width:1;height:9;visibility:visible;mso-wrap-style:square;v-text-anchor:top" coordsize="150,1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" path="m,1918l,49,150,r,1851l,1918xe" fillcolor="#868585" stroked="f">
                      <v:path arrowok="t" o:connecttype="custom" o:connectlocs="0,1918;0,49;150,0;150,1851;0,1918" o:connectangles="0,0,0,0,0"/>
                    </v:shape>
                    <v:shape id="Freeform 231" o:spid="_x0000_s1244" style="position:absolute;left:35545;top:11499;width:1;height:9;visibility:visible;mso-wrap-style:square;v-text-anchor:top" coordsize="152,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" path="m,1910l,49,152,r,1841l,1910xe" fillcolor="#868484" stroked="f">
                      <v:path arrowok="t" o:connecttype="custom" o:connectlocs="0,1910;0,49;152,0;152,1841;0,1910" o:connectangles="0,0,0,0,0"/>
                    </v:shape>
                    <v:shape id="Freeform 232" o:spid="_x0000_s1245" style="position:absolute;left:35546;top:11499;width:0;height:9;visibility:visible;mso-wrap-style:square;v-text-anchor:top" coordsize="152,1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" path="m,1901l,50,152,r,1833l,1901xe" fillcolor="#858483" stroked="f">
                      <v:path arrowok="t" o:connecttype="custom" o:connectlocs="0,1901;0,50;152,0;152,1833;0,1901" o:connectangles="0,0,0,0,0"/>
                    </v:shape>
                    <v:shape id="Freeform 233" o:spid="_x0000_s1246" style="position:absolute;left:35546;top:11499;width:0;height:8;visibility:visible;mso-wrap-style:square;v-text-anchor:top" coordsize="150,1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" path="m,1890l,49,150,r,1823l,1890xe" fillcolor="#848382" stroked="f">
                      <v:path arrowok="t" o:connecttype="custom" o:connectlocs="0,1890;0,49;150,0;150,1823;0,1890" o:connectangles="0,0,0,0,0"/>
                    </v:shape>
                    <v:shape id="Freeform 234" o:spid="_x0000_s1247" style="position:absolute;left:35546;top:11499;width:0;height:8;visibility:visible;mso-wrap-style:square;v-text-anchor:top" coordsize="75,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" path="m,1857l,24,75,r,1823l,1857xe" fillcolor="#838281" stroked="f">
                      <v:path arrowok="t" o:connecttype="custom" o:connectlocs="0,1857;0,24;75,0;75,1823;0,1857" o:connectangles="0,0,0,0,0"/>
                    </v:shape>
                    <v:shape id="Freeform 235" o:spid="_x0000_s1248" style="position:absolute;left:35532;top:11499;width:14;height:16;visibility:visible;mso-wrap-style:square;v-text-anchor:top" coordsize="377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" path="m,3509l3772,1823,3772,,,1228,,3509xe" filled="f" strokecolor="#1f1a17" strokeweight=".5pt">
                      <v:path arrowok="t" o:connecttype="custom" o:connectlocs="0,3509;3772,1823;3772,0;0,1228;0,3509" o:connectangles="0,0,0,0,0"/>
                    </v:shape>
                    <v:shape id="Freeform 236" o:spid="_x0000_s1249" style="position:absolute;left:35516;top:11497;width:17;height:7;visibility:visible;mso-wrap-style:square;v-text-anchor:top" coordsize="4275,1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" path="m313,l4275,1625r-257,83l,61,313,xe" fillcolor="#bfbfbf [2412]" stroked="f">
                      <v:path arrowok="t" o:connecttype="custom" o:connectlocs="313,0;4275,1625;4018,1708;0,61;313,0" o:connectangles="0,0,0,0,0"/>
                    </v:shape>
                    <v:shape id="Freeform 237" o:spid="_x0000_s1250" style="position:absolute;left:35517;top:11497;width:16;height:7;visibility:visible;mso-wrap-style:square;v-text-anchor:top" coordsize="4308,1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" path="m3996,1712l,73,378,,4308,1610r-312,102xe" fillcolor="#bfbfbf [2412]" stroked="f">
                      <v:path arrowok="t" o:connecttype="custom" o:connectlocs="3996,1712;0,73;378,0;4308,1610;3996,1712" o:connectangles="0,0,0,0,0"/>
                    </v:shape>
                    <v:shape id="Freeform 238" o:spid="_x0000_s1251" style="position:absolute;left:35517;top:11496;width:17;height:8;visibility:visible;mso-wrap-style:square;v-text-anchor:top" coordsize="4275,1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" path="m3962,1699l,74,378,,4275,1597r-313,102xe" fillcolor="#bfbfbf [2412]" stroked="f">
                      <v:path arrowok="t" o:connecttype="custom" o:connectlocs="3962,1699;0,74;378,0;4275,1597;3962,1699" o:connectangles="0,0,0,0,0"/>
                    </v:shape>
                    <v:shape id="Freeform 239" o:spid="_x0000_s1252" style="position:absolute;left:35518;top:11496;width:17;height:8;visibility:visible;mso-wrap-style:square;v-text-anchor:top" coordsize="4243,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" path="m3930,1685l,75,379,,4243,1583r-313,102xe" fillcolor="#bfbfbf [2412]" stroked="f">
                      <v:path arrowok="t" o:connecttype="custom" o:connectlocs="3930,1685;0,75;379,0;4243,1583;3930,1685" o:connectangles="0,0,0,0,0"/>
                    </v:shape>
                    <v:shape id="Freeform 240" o:spid="_x0000_s1253" style="position:absolute;left:35531;top:11493;width:15;height:7;visibility:visible;mso-wrap-style:square;v-text-anchor:top" coordsize="3644,1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" path="m3331,1439l,74,378,,3644,1339r-313,100xe" fillcolor="#bfbfbf [2412]" stroked="f">
                      <v:path arrowok="t" o:connecttype="custom" o:connectlocs="3331,1439;0,74;378,0;3644,1339;3331,1439" o:connectangles="0,0,0,0,0"/>
                    </v:shape>
                    <v:shape id="Freeform 241" o:spid="_x0000_s1254" style="position:absolute;left:35532;top:11493;width:14;height:6;visibility:visible;mso-wrap-style:square;v-text-anchor:top" coordsize="3610,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" path="m3299,1427l,74,378,,3610,1325r-311,102xe" fillcolor="#bfbfbf [2412]" stroked="f">
                      <v:path arrowok="t" o:connecttype="custom" o:connectlocs="3299,1427;0,74;378,0;3610,1325;3299,1427" o:connectangles="0,0,0,0,0"/>
                    </v:shape>
                    <v:shape id="Freeform 242" o:spid="_x0000_s1255" style="position:absolute;left:35533;top:11493;width:13;height:6;visibility:visible;mso-wrap-style:square;v-text-anchor:top" coordsize="3503,1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" path="m3266,1396l,57,289,,3503,1318r-237,78xe" fillcolor="#bfbfbf [2412]" stroked="f">
                      <v:path arrowok="t" o:connecttype="custom" o:connectlocs="3266,1396;0,57;289,0;3503,1318;3266,1396" o:connectangles="0,0,0,0,0"/>
                    </v:shape>
                    <v:shape id="Freeform 243" o:spid="_x0000_s1256" style="position:absolute;left:35534;top:11493;width:12;height:6;visibility:visible;mso-wrap-style:square;v-text-anchor:top" coordsize="3314,1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" path="m3232,1345l,20,100,,3314,1318r-82,27xe" fillcolor="#bfbfbf [2412]" stroked="f">
                      <v:path arrowok="t" o:connecttype="custom" o:connectlocs="3232,1345;0,20;100,0;3314,1318;3232,1345" o:connectangles="0,0,0,0,0"/>
                    </v:shape>
                    <v:shape id="Freeform 244" o:spid="_x0000_s1257" style="position:absolute;left:35532;top:11504;width:0;height:11;visibility:visible;mso-wrap-style:square;v-text-anchor:top" coordsize="75,2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" path="m,2305l,24,75,r,2270l,2305xe" fillcolor="#aaa9a9" stroked="f">
                      <v:path arrowok="t" o:connecttype="custom" o:connectlocs="0,2305;0,24;75,0;75,2270;0,2305" o:connectangles="0,0,0,0,0"/>
                    </v:shape>
                    <v:shape id="Freeform 245" o:spid="_x0000_s1258" style="position:absolute;left:35532;top:11504;width:0;height:11;visibility:visible;mso-wrap-style:square;v-text-anchor:top" coordsize="151,2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" path="m,2329l,48,151,r,2260l,2329xe" fillcolor="#aaa9a9" stroked="f">
                      <v:path arrowok="t" o:connecttype="custom" o:connectlocs="0,2329;0,48;151,0;151,2260;0,2329" o:connectangles="0,0,0,0,0"/>
                    </v:shape>
                    <v:shape id="Freeform 246" o:spid="_x0000_s1259" style="position:absolute;left:35532;top:11504;width:1;height:10;visibility:visible;mso-wrap-style:square;v-text-anchor:top" coordsize="151,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" path="m,2320l,50,151,r,2253l,2320xe" fillcolor="#a9a8a8" stroked="f">
                      <v:path arrowok="t" o:connecttype="custom" o:connectlocs="0,2320;0,50;151,0;151,2253;0,2320" o:connectangles="0,0,0,0,0"/>
                    </v:shape>
                    <v:shape id="Freeform 247" o:spid="_x0000_s1260" style="position:absolute;left:35532;top:11504;width:1;height:10;visibility:visible;mso-wrap-style:square;v-text-anchor:top" coordsize="151,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" path="m,2310l,50,151,r,2243l,2310xe" fillcolor="#a8a8a7" stroked="f">
                      <v:path arrowok="t" o:connecttype="custom" o:connectlocs="0,2310;0,50;151,0;151,2243;0,2310" o:connectangles="0,0,0,0,0"/>
                    </v:shape>
                    <v:shape id="Freeform 248" o:spid="_x0000_s1261" style="position:absolute;left:35534;top:11503;width:1;height:10;visibility:visible;mso-wrap-style:square;v-text-anchor:top" coordsize="152,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" path="m,2246l,49,152,r,2179l,2246xe" fillcolor="#a2a1a1" stroked="f">
                      <v:path arrowok="t" o:connecttype="custom" o:connectlocs="0,2246;0,49;152,0;152,2179;0,2246" o:connectangles="0,0,0,0,0"/>
                    </v:shape>
                    <v:shape id="Freeform 249" o:spid="_x0000_s1262" style="position:absolute;left:35535;top:11503;width:0;height:10;visibility:visible;mso-wrap-style:square;v-text-anchor:top" coordsize="150,2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" path="m,2238l,50,150,r,2171l,2238xe" fillcolor="#a2a1a0" stroked="f">
                      <v:path arrowok="t" o:connecttype="custom" o:connectlocs="0,2238;0,50;150,0;150,2171;0,2238" o:connectangles="0,0,0,0,0"/>
                    </v:shape>
                    <v:shape id="Freeform 250" o:spid="_x0000_s1263" style="position:absolute;left:35535;top:11503;width:1;height:10;visibility:visible;mso-wrap-style:square;v-text-anchor:top" coordsize="151,2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" path="m,2228l,49,151,r,2161l,2228xe" fillcolor="#a1a09f" stroked="f">
                      <v:path arrowok="t" o:connecttype="custom" o:connectlocs="0,2228;0,49;151,0;151,2161;0,2228" o:connectangles="0,0,0,0,0"/>
                    </v:shape>
                    <v:shape id="Freeform 251" o:spid="_x0000_s1264" style="position:absolute;left:35535;top:11503;width:1;height:10;visibility:visible;mso-wrap-style:square;v-text-anchor:top" coordsize="152,2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" path="m,2219l,48,152,r,2152l,2219xe" fillcolor="#a09f9f" stroked="f">
                      <v:path arrowok="t" o:connecttype="custom" o:connectlocs="0,2219;0,48;152,0;152,2152;0,2219" o:connectangles="0,0,0,0,0"/>
                    </v:shape>
                    <v:shape id="Freeform 252" o:spid="_x0000_s1265" style="position:absolute;left:35536;top:11503;width:0;height:10;visibility:visible;mso-wrap-style:square;v-text-anchor:top" coordsize="151,2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" path="m,2211l,50,151,r,2144l,2211xe" fillcolor="#9f9e9e" stroked="f">
                      <v:path arrowok="t" o:connecttype="custom" o:connectlocs="0,2211;0,50;151,0;151,2144;0,2211" o:connectangles="0,0,0,0,0"/>
                    </v:shape>
                    <v:shape id="Freeform 253" o:spid="_x0000_s1266" style="position:absolute;left:35536;top:11503;width:0;height:10;visibility:visible;mso-wrap-style:square;v-text-anchor:top" coordsize="150,2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" path="m,2202l,50,150,r,2135l,2202xe" fillcolor="#9f9e9d" stroked="f">
                      <v:path arrowok="t" o:connecttype="custom" o:connectlocs="0,2202;0,50;150,0;150,2135;0,2202" o:connectangles="0,0,0,0,0"/>
                    </v:shape>
                    <v:shape id="Freeform 254" o:spid="_x0000_s1267" style="position:absolute;left:35536;top:11503;width:1;height:9;visibility:visible;mso-wrap-style:square;v-text-anchor:top" coordsize="15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" path="m,2192l,48,151,r,2124l,2192xe" fillcolor="#9e9d9c" stroked="f">
                      <v:path arrowok="t" o:connecttype="custom" o:connectlocs="0,2192;0,48;151,0;151,2124;0,2192" o:connectangles="0,0,0,0,0"/>
                    </v:shape>
                    <v:shape id="Freeform 255" o:spid="_x0000_s1268" style="position:absolute;left:35536;top:11502;width:1;height:10;visibility:visible;mso-wrap-style:square;v-text-anchor:top" coordsize="151,2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" path="m,2184l,49,151,r,2115l,2184xe" fillcolor="#9d9c9b" stroked="f">
                      <v:path arrowok="t" o:connecttype="custom" o:connectlocs="0,2184;0,49;151,0;151,2115;0,2184" o:connectangles="0,0,0,0,0"/>
                    </v:shape>
                    <v:shape id="Freeform 256" o:spid="_x0000_s1269" style="position:absolute;left:35537;top:11502;width:0;height:10;visibility:visible;mso-wrap-style:square;v-text-anchor:top" coordsize="150,2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" path="m,2174l,50,150,r,2107l,2174xe" fillcolor="#9c9b9b" stroked="f">
                      <v:path arrowok="t" o:connecttype="custom" o:connectlocs="0,2174;0,50;150,0;150,2107;0,2174" o:connectangles="0,0,0,0,0"/>
                    </v:shape>
                    <v:shape id="Freeform 257" o:spid="_x0000_s1270" style="position:absolute;left:35537;top:11502;width:1;height:10;visibility:visible;mso-wrap-style:square;v-text-anchor:top" coordsize="150,2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" path="m,2164l,49,150,r,2097l,2164xe" fillcolor="#9b9a9a" stroked="f">
                      <v:path arrowok="t" o:connecttype="custom" o:connectlocs="0,2164;0,49;150,0;150,2097;0,2164" o:connectangles="0,0,0,0,0"/>
                    </v:shape>
                    <v:shape id="Freeform 258" o:spid="_x0000_s1271" style="position:absolute;left:35537;top:11502;width:1;height:10;visibility:visible;mso-wrap-style:square;v-text-anchor:top" coordsize="152,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" path="m,2156l,49,152,r,2089l,2156xe" fillcolor="#9b9a99" stroked="f">
                      <v:path arrowok="t" o:connecttype="custom" o:connectlocs="0,2156;0,49;152,0;152,2089;0,2156" o:connectangles="0,0,0,0,0"/>
                    </v:shape>
                    <v:shape id="Freeform 259" o:spid="_x0000_s1272" style="position:absolute;left:35538;top:11502;width:0;height:10;visibility:visible;mso-wrap-style:square;v-text-anchor:top" coordsize="152,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" path="m,2146l,49,152,r,2079l,2146xe" fillcolor="#9a9998" stroked="f">
                      <v:path arrowok="t" o:connecttype="custom" o:connectlocs="0,2146;0,49;152,0;152,2079;0,2146" o:connectangles="0,0,0,0,0"/>
                    </v:shape>
                    <v:shape id="Freeform 260" o:spid="_x0000_s1273" style="position:absolute;left:35538;top:11502;width:1;height:9;visibility:visible;mso-wrap-style:square;v-text-anchor:top" coordsize="150,2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" path="m,2137l,48,150,r,2070l,2137xe" fillcolor="#999897" stroked="f">
                      <v:path arrowok="t" o:connecttype="custom" o:connectlocs="0,2137;0,48;150,0;150,2070;0,2137" o:connectangles="0,0,0,0,0"/>
                    </v:shape>
                    <v:shape id="Freeform 261" o:spid="_x0000_s1274" style="position:absolute;left:35538;top:11502;width:1;height:9;visibility:visible;mso-wrap-style:square;v-text-anchor:top" coordsize="150,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" path="m,2129l,50,150,r,2061l,2129xe" fillcolor="#989797" stroked="f">
                      <v:path arrowok="t" o:connecttype="custom" o:connectlocs="0,2129;0,50;150,0;150,2061;0,2129" o:connectangles="0,0,0,0,0"/>
                    </v:shape>
                    <v:shape id="Freeform 262" o:spid="_x0000_s1275" style="position:absolute;left:35539;top:11502;width:0;height:9;visibility:visible;mso-wrap-style:square;v-text-anchor:top" coordsize="15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" path="m,2120l,50,152,r,2051l,2120xe" fillcolor="#979696" stroked="f">
                      <v:path arrowok="t" o:connecttype="custom" o:connectlocs="0,2120;0,50;152,0;152,2051;0,2120" o:connectangles="0,0,0,0,0"/>
                    </v:shape>
                    <v:shape id="Freeform 263" o:spid="_x0000_s1276" style="position:absolute;left:35539;top:11502;width:0;height:9;visibility:visible;mso-wrap-style:square;v-text-anchor:top" coordsize="152,2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" path="m,2109l,48,152,r,2042l,2109xe" fillcolor="#969595" stroked="f">
                      <v:path arrowok="t" o:connecttype="custom" o:connectlocs="0,2109;0,48;152,0;152,2042;0,2109" o:connectangles="0,0,0,0,0"/>
                    </v:shape>
                    <v:shape id="Freeform 264" o:spid="_x0000_s1277" style="position:absolute;left:35539;top:11501;width:1;height:10;visibility:visible;mso-wrap-style:square;v-text-anchor:top" coordsize="150,2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" path="m,2101l,50,150,r,2034l,2101xe" fillcolor="#959493" stroked="f">
                      <v:path arrowok="t" o:connecttype="custom" o:connectlocs="0,2101;0,50;150,0;150,2034;0,2101" o:connectangles="0,0,0,0,0"/>
                    </v:shape>
                    <v:shape id="Freeform 265" o:spid="_x0000_s1278" style="position:absolute;left:35539;top:11501;width:1;height:10;visibility:visible;mso-wrap-style:square;v-text-anchor:top" coordsize="150,2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" path="m,2092l,50,150,r,2025l,2092xe" fillcolor="#949393" stroked="f">
                      <v:path arrowok="t" o:connecttype="custom" o:connectlocs="0,2092;0,50;150,0;150,2025;0,2092" o:connectangles="0,0,0,0,0"/>
                    </v:shape>
                    <v:shape id="Freeform 266" o:spid="_x0000_s1279" style="position:absolute;left:35540;top:11501;width:0;height:10;visibility:visible;mso-wrap-style:square;v-text-anchor:top" coordsize="151,2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" path="m,2082l,48,151,r,2015l,2082xe" fillcolor="#949292" stroked="f">
                      <v:path arrowok="t" o:connecttype="custom" o:connectlocs="0,2082;0,48;151,0;151,2015;0,2082" o:connectangles="0,0,0,0,0"/>
                    </v:shape>
                    <v:shape id="Freeform 267" o:spid="_x0000_s1280" style="position:absolute;left:35540;top:11501;width:1;height:9;visibility:visible;mso-wrap-style:square;v-text-anchor:top" coordsize="151,2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" path="m,2073l,48,151,r,2006l,2073xe" fillcolor="#939291" stroked="f">
                      <v:path arrowok="t" o:connecttype="custom" o:connectlocs="0,2073;0,48;151,0;151,2006;0,2073" o:connectangles="0,0,0,0,0"/>
                    </v:shape>
                    <v:shape id="Freeform 268" o:spid="_x0000_s1281" style="position:absolute;left:35540;top:11501;width:1;height:9;visibility:visible;mso-wrap-style:square;v-text-anchor:top" coordsize="1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" path="m,2065l,50,151,r,1998l,2065xe" fillcolor="#929190" stroked="f">
                      <v:path arrowok="t" o:connecttype="custom" o:connectlocs="0,2065;0,50;151,0;151,1998;0,2065" o:connectangles="0,0,0,0,0"/>
                    </v:shape>
                    <v:shape id="Freeform 269" o:spid="_x0000_s1282" style="position:absolute;left:35541;top:11501;width:0;height:9;visibility:visible;mso-wrap-style:square;v-text-anchor:top" coordsize="151,2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" path="m,2056l,50,151,r,1987l,2056xe" fillcolor="#919090" stroked="f">
                      <v:path arrowok="t" o:connecttype="custom" o:connectlocs="0,2056;0,50;151,0;151,1987;0,2056" o:connectangles="0,0,0,0,0"/>
                    </v:shape>
                    <v:shape id="Freeform 270" o:spid="_x0000_s1283" style="position:absolute;left:35541;top:11501;width:0;height:9;visibility:visible;mso-wrap-style:square;v-text-anchor:top" coordsize="151,2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" path="m,2046l,48,151,r,1978l,2046xe" fillcolor="#91908f" stroked="f">
                      <v:path arrowok="t" o:connecttype="custom" o:connectlocs="0,2046;0,48;151,0;151,1978;0,2046" o:connectangles="0,0,0,0,0"/>
                    </v:shape>
                    <v:shape id="Freeform 271" o:spid="_x0000_s1284" style="position:absolute;left:35541;top:11501;width:1;height:9;visibility:visible;mso-wrap-style:square;v-text-anchor:top" coordsize="151,2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" path="m,2036l,49,151,r,1969l,2036xe" fillcolor="#908f8e" stroked="f">
                      <v:path arrowok="t" o:connecttype="custom" o:connectlocs="0,2036;0,49;151,0;151,1969;0,2036" o:connectangles="0,0,0,0,0"/>
                    </v:shape>
                    <v:shape id="Freeform 272" o:spid="_x0000_s1285" style="position:absolute;left:35541;top:11501;width:1;height:9;visibility:visible;mso-wrap-style:square;v-text-anchor:top" coordsize="150,2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" path="m,2027l,49,150,r,1960l,2027xe" fillcolor="#8f8e8d" stroked="f">
                      <v:path arrowok="t" o:connecttype="custom" o:connectlocs="0,2027;0,49;150,0;150,1960;0,2027" o:connectangles="0,0,0,0,0"/>
                    </v:shape>
                    <v:shape id="Freeform 273" o:spid="_x0000_s1286" style="position:absolute;left:35542;top:11500;width:0;height:10;visibility:visible;mso-wrap-style:square;v-text-anchor:top" coordsize="150,2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" path="m,2018l,49,150,r,1951l,2018xe" fillcolor="#8e8d8d" stroked="f">
                      <v:path arrowok="t" o:connecttype="custom" o:connectlocs="0,2018;0,49;150,0;150,1951;0,2018" o:connectangles="0,0,0,0,0"/>
                    </v:shape>
                    <v:shape id="Freeform 274" o:spid="_x0000_s1287" style="position:absolute;left:35542;top:11500;width:1;height:9;visibility:visible;mso-wrap-style:square;v-text-anchor:top" coordsize="152,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" path="m,2010l,50,152,r,1943l,2010xe" fillcolor="#8e8d8c" stroked="f">
                      <v:path arrowok="t" o:connecttype="custom" o:connectlocs="0,2010;0,50;152,0;152,1943;0,2010" o:connectangles="0,0,0,0,0"/>
                    </v:shape>
                    <v:shape id="Freeform 275" o:spid="_x0000_s1288" style="position:absolute;left:35542;top:11500;width:1;height:9;visibility:visible;mso-wrap-style:square;v-text-anchor:top" coordsize="152,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" path="m,2000l,49,152,r,1933l,2000xe" fillcolor="#8d8c8b" stroked="f">
                      <v:path arrowok="t" o:connecttype="custom" o:connectlocs="0,2000;0,49;152,0;152,1933;0,2000" o:connectangles="0,0,0,0,0"/>
                    </v:shape>
                    <v:shape id="Freeform 276" o:spid="_x0000_s1289" style="position:absolute;left:35543;top:11500;width:0;height:9;visibility:visible;mso-wrap-style:square;v-text-anchor:top" coordsize="150,1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" path="m,1991l,48,150,r,1924l,1991xe" fillcolor="#8c8b8a" stroked="f">
                      <v:path arrowok="t" o:connecttype="custom" o:connectlocs="0,1991;0,48;150,0;150,1924;0,1991" o:connectangles="0,0,0,0,0"/>
                    </v:shape>
                    <v:shape id="Freeform 277" o:spid="_x0000_s1290" style="position:absolute;left:35543;top:11500;width:1;height:9;visibility:visible;mso-wrap-style:square;v-text-anchor:top" coordsize="151,1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" path="m,1983l,50,151,r,1915l,1983xe" fillcolor="#8b8a8a" stroked="f">
                      <v:path arrowok="t" o:connecttype="custom" o:connectlocs="0,1983;0,50;151,0;151,1915;0,1983" o:connectangles="0,0,0,0,0"/>
                    </v:shape>
                    <v:shape id="Freeform 278" o:spid="_x0000_s1291" style="position:absolute;left:35543;top:11500;width:1;height:9;visibility:visible;mso-wrap-style:square;v-text-anchor:top" coordsize="152,1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" path="m,1974l,50,152,r,1905l,1974xe" fillcolor="#8b8989" stroked="f">
                      <v:path arrowok="t" o:connecttype="custom" o:connectlocs="0,1974;0,50;152,0;152,1905;0,1974" o:connectangles="0,0,0,0,0"/>
                    </v:shape>
                    <v:shape id="Freeform 279" o:spid="_x0000_s1292" style="position:absolute;left:35544;top:11500;width:0;height:9;visibility:visible;mso-wrap-style:square;v-text-anchor:top" coordsize="151,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" path="m,1963l,48,151,r,1896l,1963xe" fillcolor="#8a8988" stroked="f">
                      <v:path arrowok="t" o:connecttype="custom" o:connectlocs="0,1963;0,48;151,0;151,1896;0,1963" o:connectangles="0,0,0,0,0"/>
                    </v:shape>
                    <v:shape id="Freeform 280" o:spid="_x0000_s1293" style="position:absolute;left:35544;top:11500;width:0;height:8;visibility:visible;mso-wrap-style:square;v-text-anchor:top" coordsize="150,1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" path="m,1955l,50,150,r,1888l,1955xe" fillcolor="#898887" stroked="f">
                      <v:path arrowok="t" o:connecttype="custom" o:connectlocs="0,1955;0,50;150,0;150,1888;0,1955" o:connectangles="0,0,0,0,0"/>
                    </v:shape>
                    <v:shape id="Freeform 281" o:spid="_x0000_s1294" style="position:absolute;left:35544;top:11500;width:1;height:8;visibility:visible;mso-wrap-style:square;v-text-anchor:top" coordsize="151,1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" path="m,1946l,50,151,r,1879l,1946xe" fillcolor="#888787" stroked="f">
                      <v:path arrowok="t" o:connecttype="custom" o:connectlocs="0,1946;0,50;151,0;151,1879;0,1946" o:connectangles="0,0,0,0,0"/>
                    </v:shape>
                    <v:shape id="Freeform 282" o:spid="_x0000_s1295" style="position:absolute;left:35544;top:11499;width:1;height:9;visibility:visible;mso-wrap-style:square;v-text-anchor:top" coordsize="151,1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" path="m,1936l,48,151,r,1869l,1936xe" fillcolor="#888786" stroked="f">
                      <v:path arrowok="t" o:connecttype="custom" o:connectlocs="0,1936;0,48;151,0;151,1869;0,1936" o:connectangles="0,0,0,0,0"/>
                    </v:shape>
                    <v:shape id="Freeform 283" o:spid="_x0000_s1296" style="position:absolute;left:35545;top:11499;width:0;height:9;visibility:visible;mso-wrap-style:square;v-text-anchor:top" coordsize="150,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" path="m,1928l,49,150,r,1861l,1928xe" fillcolor="#878685" stroked="f">
                      <v:path arrowok="t" o:connecttype="custom" o:connectlocs="0,1928;0,49;150,0;150,1861;0,1928" o:connectangles="0,0,0,0,0"/>
                    </v:shape>
                    <v:shape id="Freeform 284" o:spid="_x0000_s1297" style="position:absolute;left:35545;top:11499;width:1;height:9;visibility:visible;mso-wrap-style:square;v-text-anchor:top" coordsize="150,1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" path="m,1918l,49,150,r,1851l,1918xe" fillcolor="#868585" stroked="f">
                      <v:path arrowok="t" o:connecttype="custom" o:connectlocs="0,1918;0,49;150,0;150,1851;0,1918" o:connectangles="0,0,0,0,0"/>
                    </v:shape>
                    <v:shape id="Freeform 285" o:spid="_x0000_s1298" style="position:absolute;left:35545;top:11499;width:1;height:9;visibility:visible;mso-wrap-style:square;v-text-anchor:top" coordsize="152,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" path="m,1910l,49,152,r,1841l,1910xe" fillcolor="#868484" stroked="f">
                      <v:path arrowok="t" o:connecttype="custom" o:connectlocs="0,1910;0,49;152,0;152,1841;0,1910" o:connectangles="0,0,0,0,0"/>
                    </v:shape>
                    <v:shape id="Freeform 286" o:spid="_x0000_s1299" style="position:absolute;left:35546;top:11499;width:0;height:9;visibility:visible;mso-wrap-style:square;v-text-anchor:top" coordsize="152,1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" path="m,1901l,50,152,r,1833l,1901xe" fillcolor="#858483" stroked="f">
                      <v:path arrowok="t" o:connecttype="custom" o:connectlocs="0,1901;0,50;152,0;152,1833;0,1901" o:connectangles="0,0,0,0,0"/>
                    </v:shape>
                    <v:shape id="Freeform 287" o:spid="_x0000_s1300" style="position:absolute;left:35546;top:11499;width:0;height:8;visibility:visible;mso-wrap-style:square;v-text-anchor:top" coordsize="150,1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" path="m,1890l,49,150,r,1823l,1890xe" fillcolor="#848382" stroked="f">
                      <v:path arrowok="t" o:connecttype="custom" o:connectlocs="0,1890;0,49;150,0;150,1823;0,1890" o:connectangles="0,0,0,0,0"/>
                    </v:shape>
                    <v:shape id="Freeform 288" o:spid="_x0000_s1301" style="position:absolute;left:35546;top:11499;width:0;height:8;visibility:visible;mso-wrap-style:square;v-text-anchor:top" coordsize="75,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" path="m,1857l,24,75,r,1823l,1857xe" fillcolor="#838281" stroked="f">
                      <v:path arrowok="t" o:connecttype="custom" o:connectlocs="0,1857;0,24;75,0;75,1823;0,1857" o:connectangles="0,0,0,0,0"/>
                    </v:shape>
                    <v:shape id="Freeform 289" o:spid="_x0000_s1302" style="position:absolute;left:35532;top:11499;width:14;height:16;visibility:visible;mso-wrap-style:square;v-text-anchor:top" coordsize="3772,3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" path="m,3509l3772,1823,3772,,,1228,,3509xe" fillcolor="#bfbfbf [2412]" strokecolor="#1f1a17" strokeweight=".5pt">
                      <v:path arrowok="t" o:connecttype="custom" o:connectlocs="0,3509;3772,1823;3772,0;0,1228;0,3509" o:connectangles="0,0,0,0,0"/>
                    </v:shape>
                    <v:shape id="Freeform 290" o:spid="_x0000_s1303" style="position:absolute;left:35516;top:11497;width:16;height:18;visibility:visible;mso-wrap-style:square;v-text-anchor:top" coordsize="4018,3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" path="m4018,1647l,,1620,2958r2398,970l4018,1647xe" fillcolor="#aaa9a9" stroked="f">
                      <v:path arrowok="t" o:connecttype="custom" o:connectlocs="4018,1647;0,0;1620,2958;4018,3928;4018,1647" o:connectangles="0,0,0,0,0"/>
                    </v:shape>
                  </v:group>
                  <v:shape id="Freeform 291" o:spid="_x0000_s1304" style="position:absolute;left:35516;top:11497;width:16;height:18;visibility:visible;mso-wrap-style:square;v-text-anchor:top" coordsize="4018,3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" path="m4018,1647l,,1620,2958r2398,970l4018,1647xe" fillcolor="#bfbfbf [2412]" strokecolor="#1f1a17" strokeweight=".5pt">
                    <v:path arrowok="t" o:connecttype="custom" o:connectlocs="4018,1647;0,0;1620,2958;4018,3928;4018,1647" o:connectangles="0,0,0,0,0"/>
                  </v:shape>
                </v:group>
                <v:group id="Group 2047755353" o:spid="_x0000_s1305" style="position:absolute;left:20014;top:6977;width:27568;height:14017" coordorigin="18130,4811" coordsize="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">
                  <v:line id="Line 309" o:spid="_x0000_s1306" style="position:absolute;visibility:visible;mso-wrap-style:square" from="18130,4814" to="18139,4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" strokecolor="black [3213]">
                    <v:stroke endarrow="block"/>
                  </v:line>
                  <v:line id="Line 310" o:spid="_x0000_s1307" style="position:absolute;visibility:visible;mso-wrap-style:square" from="18138,4812" to="18141,4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" strokecolor="black [3213]">
                    <v:stroke endarrow="block"/>
                  </v:line>
                  <v:line id="Line 311" o:spid="_x0000_s1308" style="position:absolute;visibility:visible;mso-wrap-style:square" from="18138,4812" to="18141,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" strokecolor="black [3213]"/>
                  <v:line id="Line 312" o:spid="_x0000_s1309" style="position:absolute;visibility:visible;mso-wrap-style:square" from="18141,4813" to="18141,4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" strokecolor="black [3213]"/>
                  <v:line id="Line 313" o:spid="_x0000_s1310" style="position:absolute;visibility:visible;mso-wrap-style:square" from="18138,4812" to="18141,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" strokecolor="black [3213]">
                    <v:stroke endarrow="block"/>
                  </v:line>
                  <v:line id="Line 314" o:spid="_x0000_s1311" style="position:absolute;visibility:visible;mso-wrap-style:square" from="18141,4813" to="18141,4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" strokecolor="black [3213]">
                    <v:stroke endarrow="block"/>
                  </v:line>
                  <v:shape id="Text Box 315" o:spid="_x0000_s1312" type="#_x0000_t202" style="position:absolute;left:18132;top:4816;width:6;height:4;rotation:1588502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" filled="f" stroked="f">
                    <v:textbox style="mso-fit-shape-to-text:t">
                      <w:txbxContent>
                        <w:p w14:paraId="3DB99B9A" w14:textId="77777777" w:rsidR="005863E1" w:rsidRDefault="005863E1" w:rsidP="007E2D6E">
                          <w:pPr>
                            <w:jc w:val="center"/>
                            <w:textAlignment w:val="baseline"/>
                          </w:pPr>
                          <w:r>
                            <w:rPr>
                              <w:rFonts w:ascii="Arial" w:hAnsi="Arial"/>
                              <w:color w:val="000000" w:themeColor="text1"/>
                              <w:kern w:val="24"/>
                              <w:sz w:val="14"/>
                              <w:szCs w:val="14"/>
                              <w:lang w:val="en-US"/>
                            </w:rPr>
                            <w:t>Net Slip</w:t>
                          </w:r>
                        </w:p>
                      </w:txbxContent>
                    </v:textbox>
                  </v:shape>
                  <v:shape id="Text Box 316" o:spid="_x0000_s1313" type="#_x0000_t202" style="position:absolute;left:18130;top:4811;width:7;height:4;rotation:-691521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" filled="f" stroked="f">
                    <v:textbox style="mso-fit-shape-to-text:t">
                      <w:txbxContent>
                        <w:p w14:paraId="14932DA7" w14:textId="77777777" w:rsidR="005863E1" w:rsidRDefault="005863E1" w:rsidP="007E2D6E">
                          <w:pPr>
                            <w:jc w:val="center"/>
                            <w:textAlignment w:val="baseline"/>
                          </w:pPr>
                          <w:r>
                            <w:rPr>
                              <w:rFonts w:ascii="Arial" w:hAnsi="Arial"/>
                              <w:color w:val="000000" w:themeColor="text1"/>
                              <w:kern w:val="24"/>
                              <w:sz w:val="14"/>
                              <w:szCs w:val="14"/>
                              <w:lang w:val="en-US"/>
                            </w:rPr>
                            <w:t>Strike Slip</w:t>
                          </w:r>
                        </w:p>
                      </w:txbxContent>
                    </v:textbox>
                  </v:shape>
                  <v:line id="Line 318" o:spid="_x0000_s1314" style="position:absolute;flip:y;visibility:visible;mso-wrap-style:square" from="18131,4812" to="18138,4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" strokecolor="black [3213]">
                    <v:stroke endarrow="block"/>
                  </v:line>
                  <v:shape id="_x0000_s1315" type="#_x0000_t202" style="position:absolute;left:18140;top:4813;width:6;height: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" filled="f" stroked="f">
                    <v:textbox style="mso-fit-shape-to-text:t">
                      <w:txbxContent>
                        <w:p w14:paraId="6D4B16D0" w14:textId="77777777" w:rsidR="005863E1" w:rsidRPr="0087595A" w:rsidRDefault="005863E1" w:rsidP="007E2D6E">
                          <w:pPr>
                            <w:jc w:val="center"/>
                            <w:textAlignment w:val="baseline"/>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7595A">
                            <w:rPr>
                              <w:rFonts w:ascii="Arial" w:hAnsi="Arial"/>
                              <w:color w:val="000000" w:themeColor="text1"/>
                              <w:kern w:val="24"/>
                              <w:sz w:val="14"/>
                              <w:szCs w:val="1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Throw</w:t>
                          </w:r>
                        </w:p>
                      </w:txbxContent>
                    </v:textbox>
                  </v:shape>
                  <v:shape id="Text Box 321" o:spid="_x0000_s1316" type="#_x0000_t202" style="position:absolute;left:18135;top:4814;width:7;height:4;rotation:3697612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" filled="f" stroked="f">
                    <v:textbox style="mso-fit-shape-to-text:t">
                      <w:txbxContent>
                        <w:p w14:paraId="74B71DC6" w14:textId="77777777" w:rsidR="005863E1" w:rsidRDefault="005863E1" w:rsidP="007E2D6E">
                          <w:pPr>
                            <w:jc w:val="center"/>
                            <w:textAlignment w:val="baseline"/>
                          </w:pPr>
                          <w:r>
                            <w:rPr>
                              <w:rFonts w:ascii="Arial" w:hAnsi="Arial"/>
                              <w:color w:val="000000" w:themeColor="text1"/>
                              <w:kern w:val="24"/>
                              <w:sz w:val="14"/>
                              <w:szCs w:val="14"/>
                              <w:lang w:val="en-US"/>
                            </w:rPr>
                            <w:t>Dip Slip</w:t>
                          </w:r>
                        </w:p>
                      </w:txbxContent>
                    </v:textbox>
                  </v:shape>
                </v:group>
                <v:shape id="Text Box 316" o:spid="_x0000_s1317" type="#_x0000_t202" style="position:absolute;left:45599;top:7353;width:9100;height:6788;rotation:-691521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" filled="f" stroked="f">
                  <v:textbox style="mso-fit-shape-to-text:t">
                    <w:txbxContent>
                      <w:p w14:paraId="2FFE2AA5" w14:textId="77777777" w:rsidR="005863E1" w:rsidRDefault="005863E1" w:rsidP="007E2D6E">
                        <w:pPr>
                          <w:jc w:val="center"/>
                          <w:textAlignment w:val="baseline"/>
                        </w:pPr>
                        <w:r>
                          <w:rPr>
                            <w:rFonts w:ascii="Arial" w:hAnsi="Arial"/>
                            <w:color w:val="000000" w:themeColor="text1"/>
                            <w:kern w:val="24"/>
                            <w:sz w:val="14"/>
                            <w:szCs w:val="14"/>
                            <w:lang w:val="en-US"/>
                          </w:rPr>
                          <w:t>Strike</w:t>
                        </w:r>
                      </w:p>
                    </w:txbxContent>
                  </v:textbox>
                </v:shape>
                <v:line id="Straight Connector 2047755366" o:spid="_x0000_s1318" style="position:absolute;flip:y;visibility:visible;mso-wrap-style:square" from="48449,10871" to="54210,12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" filled="t" fillcolor="#4472c4 [3204]" strokecolor="black [3213]">
                  <v:stroke startarrow="open" endarrow="open"/>
                </v:line>
                <v:shape id="Text Box 316" o:spid="_x0000_s1319" type="#_x0000_t202" style="position:absolute;left:29933;top:23517;width:7076;height:6787;rotation:-691521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" filled="f" stroked="f">
                  <v:textbox style="mso-fit-shape-to-text:t">
                    <w:txbxContent>
                      <w:p w14:paraId="44B6BD34" w14:textId="77777777" w:rsidR="005863E1" w:rsidRDefault="005863E1" w:rsidP="007E2D6E">
                        <w:pPr>
                          <w:jc w:val="center"/>
                          <w:textAlignment w:val="baseline"/>
                        </w:pPr>
                        <w:r>
                          <w:rPr>
                            <w:rFonts w:ascii="Arial" w:hAnsi="Arial"/>
                            <w:color w:val="000000" w:themeColor="text1"/>
                            <w:kern w:val="24"/>
                            <w:sz w:val="14"/>
                            <w:szCs w:val="14"/>
                            <w:lang w:val="en-US"/>
                          </w:rPr>
                          <w:t>Dip</w:t>
                        </w:r>
                      </w:p>
                    </w:txbxContent>
                  </v:textbox>
                </v:shape>
                <v:line id="Straight Connector 2047755368" o:spid="_x0000_s1320" style="position:absolute;visibility:visible;mso-wrap-style:square" from="33663,26828" to="35030,29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" filled="t" fillcolor="#4472c4 [3204]" strokecolor="black [3213]">
                  <v:stroke endarrow="block"/>
                  <o:lock v:ext="edit" shapetype="f"/>
                </v:line>
                <v:shape id="Text Box 316" o:spid="_x0000_s1321" type="#_x0000_t202" style="position:absolute;left:9559;top:8834;width:11357;height:6787;rotation:1399075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" filled="f" stroked="f">
                  <v:textbox style="mso-fit-shape-to-text:t">
                    <w:txbxContent>
                      <w:p w14:paraId="318555C0" w14:textId="77777777" w:rsidR="005863E1" w:rsidRDefault="005863E1" w:rsidP="007E2D6E">
                        <w:pPr>
                          <w:jc w:val="center"/>
                          <w:textAlignment w:val="baseline"/>
                        </w:pPr>
                        <w:r>
                          <w:rPr>
                            <w:rFonts w:ascii="Arial" w:hAnsi="Arial"/>
                            <w:color w:val="000000" w:themeColor="text1"/>
                            <w:kern w:val="24"/>
                            <w:sz w:val="14"/>
                            <w:szCs w:val="14"/>
                            <w:lang w:val="en-US"/>
                          </w:rPr>
                          <w:t>Footwall</w:t>
                        </w:r>
                      </w:p>
                    </w:txbxContent>
                  </v:textbox>
                </v:shape>
                <v:shape id="Text Box 316" o:spid="_x0000_s1322" type="#_x0000_t202" style="position:absolute;left:47656;top:25592;width:14675;height:6787;rotation:1399075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" filled="f" stroked="f">
                  <v:textbox style="mso-fit-shape-to-text:t">
                    <w:txbxContent>
                      <w:p w14:paraId="633762C4" w14:textId="77777777" w:rsidR="005863E1" w:rsidRDefault="005863E1" w:rsidP="007E2D6E">
                        <w:pPr>
                          <w:jc w:val="center"/>
                          <w:textAlignment w:val="baseline"/>
                        </w:pPr>
                        <w:proofErr w:type="spellStart"/>
                        <w:r>
                          <w:rPr>
                            <w:rFonts w:ascii="Arial" w:hAnsi="Arial"/>
                            <w:color w:val="000000" w:themeColor="text1"/>
                            <w:kern w:val="24"/>
                            <w:sz w:val="14"/>
                            <w:szCs w:val="14"/>
                            <w:lang w:val="en-US"/>
                          </w:rPr>
                          <w:t>Hangingwall</w:t>
                        </w:r>
                        <w:proofErr w:type="spellEnd"/>
                      </w:p>
                    </w:txbxContent>
                  </v:textbox>
                </v:shape>
                <w10:anchorlock/>
              </v:group>
            </w:pict>
          </mc:Fallback>
        </mc:AlternateContent>
      </w:r>
    </w:p>
    <w:p w14:paraId="4ED763D2" w14:textId="6129D408" w:rsidR="007E2D6E" w:rsidRPr="0038473D" w:rsidRDefault="007E2D6E" w:rsidP="007E2D6E">
      <w:pPr>
        <w:pStyle w:val="Caption"/>
      </w:pPr>
      <w:bookmarkStart w:id="330" w:name="_Ref19477779"/>
      <w:bookmarkStart w:id="331" w:name="_Toc30339127"/>
      <w:r w:rsidRPr="006F4023">
        <w:t xml:space="preserve">Figure </w:t>
      </w:r>
      <w:r w:rsidRPr="006F4023">
        <w:fldChar w:fldCharType="begin"/>
      </w:r>
      <w:r w:rsidRPr="009C1439">
        <w:instrText xml:space="preserve"> SEQ Figure \* ARABIC </w:instrText>
      </w:r>
      <w:r w:rsidRPr="006F4023">
        <w:fldChar w:fldCharType="separate"/>
      </w:r>
      <w:r w:rsidR="00047351">
        <w:rPr>
          <w:noProof/>
        </w:rPr>
        <w:t>4</w:t>
      </w:r>
      <w:r w:rsidRPr="006F4023">
        <w:fldChar w:fldCharType="end"/>
      </w:r>
      <w:bookmarkEnd w:id="330"/>
      <w:r w:rsidRPr="006F4023">
        <w:t>: Fault displacement schematic. Major aspects of displacement that may influence groundwater movement are indicated (see definitions in the glossary).</w:t>
      </w:r>
      <w:bookmarkEnd w:id="331"/>
    </w:p>
    <w:p w14:paraId="381D4921" w14:textId="77777777" w:rsidR="007E2D6E" w:rsidRPr="0038473D" w:rsidRDefault="007E2D6E" w:rsidP="007E2D6E">
      <w:pPr>
        <w:pStyle w:val="Caption"/>
      </w:pPr>
    </w:p>
    <w:p w14:paraId="568B48A9" w14:textId="77777777" w:rsidR="007E2D6E" w:rsidRPr="009C1439" w:rsidRDefault="007E2D6E" w:rsidP="007E2D6E">
      <w:pPr>
        <w:pStyle w:val="Heading3Numbered"/>
      </w:pPr>
      <w:bookmarkStart w:id="332" w:name="_Toc66967188"/>
      <w:r w:rsidRPr="009C1439">
        <w:t>Strike and dip</w:t>
      </w:r>
      <w:bookmarkEnd w:id="332"/>
    </w:p>
    <w:p w14:paraId="386F54C9" w14:textId="77777777" w:rsidR="007E2D6E" w:rsidRPr="009C1439" w:rsidRDefault="007E2D6E" w:rsidP="007E2D6E">
      <w:pPr>
        <w:pStyle w:val="BodyText"/>
        <w:rPr>
          <w:lang w:val="en-AU"/>
        </w:rPr>
      </w:pPr>
      <w:r w:rsidRPr="009C1439">
        <w:rPr>
          <w:lang w:val="en-AU"/>
        </w:rPr>
        <w:t>The approximate fault surface and fault zone can be averaged (or best-fit plane in 3D identified), despite faults having surface irregularities and roughness that arise from many different mechanisms. Thus, a fault is often described using an “average plane”, the orientation of which is described using either “strike and dip” or “dip and dip-direction”. The strike is a vector that is horizontal in the average plane of the fault. The strike is traditionally measured with a bearing or angle measured clockwise from North (</w:t>
      </w:r>
      <w:proofErr w:type="gramStart"/>
      <w:r w:rsidRPr="009C1439">
        <w:rPr>
          <w:lang w:val="en-AU"/>
        </w:rPr>
        <w:t>e.g.</w:t>
      </w:r>
      <w:proofErr w:type="gramEnd"/>
      <w:r w:rsidRPr="009C1439">
        <w:rPr>
          <w:lang w:val="en-AU"/>
        </w:rPr>
        <w:t xml:space="preserve"> an east strike is 090°, and a NW strike is approximately 315°). For more detail see McClay (1987).</w:t>
      </w:r>
    </w:p>
    <w:p w14:paraId="2214713F" w14:textId="77777777" w:rsidR="007E2D6E" w:rsidRPr="009C1439" w:rsidRDefault="007E2D6E" w:rsidP="007E2D6E">
      <w:pPr>
        <w:pStyle w:val="Heading3Numbered"/>
      </w:pPr>
      <w:bookmarkStart w:id="333" w:name="_1ci93xb"/>
      <w:bookmarkStart w:id="334" w:name="_Toc66967189"/>
      <w:bookmarkEnd w:id="333"/>
      <w:r w:rsidRPr="009C1439">
        <w:t>Strike and separation / heave and throw</w:t>
      </w:r>
      <w:bookmarkEnd w:id="334"/>
    </w:p>
    <w:p w14:paraId="054949A5" w14:textId="77777777" w:rsidR="007E2D6E" w:rsidRPr="009C1439" w:rsidRDefault="007E2D6E" w:rsidP="007E2D6E">
      <w:pPr>
        <w:pStyle w:val="BodyText"/>
        <w:rPr>
          <w:lang w:val="en-AU"/>
        </w:rPr>
      </w:pPr>
      <w:r w:rsidRPr="009C1439">
        <w:rPr>
          <w:lang w:val="en-AU"/>
        </w:rPr>
        <w:t xml:space="preserve">In some cases, it is possible to identify corresponding features on the opposing sides of a fault, which allows the total relative displacement to be directly measured. This is a vector quantity, which is usually referred to as fault slip. </w:t>
      </w:r>
      <w:r w:rsidRPr="009C1439">
        <w:rPr>
          <w:lang w:val="en-AU"/>
        </w:rPr>
        <w:lastRenderedPageBreak/>
        <w:t xml:space="preserve">Formally, slip describes the full movement history, including faults which move one way, then move backwards, </w:t>
      </w:r>
      <w:proofErr w:type="gramStart"/>
      <w:r w:rsidRPr="009C1439">
        <w:rPr>
          <w:lang w:val="en-AU"/>
        </w:rPr>
        <w:t>i.e.</w:t>
      </w:r>
      <w:proofErr w:type="gramEnd"/>
      <w:r w:rsidRPr="009C1439">
        <w:rPr>
          <w:lang w:val="en-AU"/>
        </w:rPr>
        <w:t xml:space="preserve"> change direction of displacement. Consequently, slip may be a complex, non-linear vector. </w:t>
      </w:r>
    </w:p>
    <w:p w14:paraId="679AE48E" w14:textId="7C1500AB" w:rsidR="007E2D6E" w:rsidRPr="009C1439" w:rsidRDefault="007E2D6E" w:rsidP="007E2D6E">
      <w:pPr>
        <w:pStyle w:val="BodyText"/>
        <w:rPr>
          <w:lang w:val="en-AU"/>
        </w:rPr>
      </w:pPr>
      <w:r w:rsidRPr="009C1439">
        <w:rPr>
          <w:lang w:val="en-AU"/>
        </w:rPr>
        <w:t xml:space="preserve">Because it is usually difficult to determine the full history of the fault, it is common to consider only the pre-faulting and current-day geometry, and it is preferred to use the term separation to describe the difference between the original and the post faulting state. Separation can thus be described as a single linear vector connecting two points on the opposing sides of a fault, which were formerly adjacent to each other. It is then common to resolve the total separation into two or three components, with the vertical component being the throw (vertical separation) and the horizontal separation being divided into two components, one parallel to strike and one perpendicular to the strike. The component perpendicular to the strike is also called the heave. For more background and detail see Fossen (2016). </w:t>
      </w:r>
    </w:p>
    <w:p w14:paraId="3C3EFC78" w14:textId="77777777" w:rsidR="007E2D6E" w:rsidRPr="009C1439" w:rsidRDefault="007E2D6E" w:rsidP="007E2D6E">
      <w:pPr>
        <w:pStyle w:val="Heading3Numbered"/>
      </w:pPr>
      <w:bookmarkStart w:id="335" w:name="_3whwml4"/>
      <w:bookmarkStart w:id="336" w:name="_Toc66967190"/>
      <w:bookmarkEnd w:id="335"/>
      <w:r w:rsidRPr="009C1439">
        <w:t>Slip / separation variability</w:t>
      </w:r>
      <w:bookmarkEnd w:id="336"/>
    </w:p>
    <w:p w14:paraId="57685C1D" w14:textId="3FEB295A" w:rsidR="007E2D6E" w:rsidRPr="009C1439" w:rsidRDefault="007E2D6E" w:rsidP="007E2D6E">
      <w:pPr>
        <w:pStyle w:val="BodyText"/>
        <w:rPr>
          <w:lang w:val="en-AU"/>
        </w:rPr>
      </w:pPr>
      <w:r w:rsidRPr="009C1439">
        <w:rPr>
          <w:lang w:val="en-AU"/>
        </w:rPr>
        <w:t xml:space="preserve">Whilst it is convenient to describe a fault’s geometry as a plane with separation resolved as a single vector, </w:t>
      </w:r>
      <w:proofErr w:type="gramStart"/>
      <w:r w:rsidRPr="009C1439">
        <w:rPr>
          <w:lang w:val="en-AU"/>
        </w:rPr>
        <w:t>in reality the</w:t>
      </w:r>
      <w:proofErr w:type="gramEnd"/>
      <w:r w:rsidRPr="009C1439">
        <w:rPr>
          <w:lang w:val="en-AU"/>
        </w:rPr>
        <w:t xml:space="preserve"> slip and separation vectors vary over the fault surface, and with the available data and normal observation methods it is not always possible to determine where the maximum separation point or points are. This is partly because observation methods and data have an intrinsic resolution limit. However, despite the uncertainty, separation, where it can be </w:t>
      </w:r>
      <w:r w:rsidR="00D67AB5" w:rsidRPr="009C1439">
        <w:rPr>
          <w:lang w:val="en-AU"/>
        </w:rPr>
        <w:t>summarised</w:t>
      </w:r>
      <w:r w:rsidRPr="009C1439">
        <w:rPr>
          <w:lang w:val="en-AU"/>
        </w:rPr>
        <w:t xml:space="preserve"> in detail is found to vary in a predictable fashion across the fault surface. Typically, there is a maximum value near the central part of the fault surface, which then </w:t>
      </w:r>
      <w:r w:rsidR="00D67AB5" w:rsidRPr="009C1439">
        <w:rPr>
          <w:lang w:val="en-AU"/>
        </w:rPr>
        <w:t xml:space="preserve">rapidly </w:t>
      </w:r>
      <w:r w:rsidRPr="009C1439">
        <w:rPr>
          <w:lang w:val="en-AU"/>
        </w:rPr>
        <w:t xml:space="preserve">decreases to zero as the fault surface tip or edges are approached (Fossen 2016). It is also important to consider that faults don’t always occur </w:t>
      </w:r>
      <w:proofErr w:type="gramStart"/>
      <w:r w:rsidRPr="009C1439">
        <w:rPr>
          <w:lang w:val="en-AU"/>
        </w:rPr>
        <w:t>singularly</w:t>
      </w:r>
      <w:proofErr w:type="gramEnd"/>
      <w:r w:rsidRPr="009C1439">
        <w:rPr>
          <w:lang w:val="en-AU"/>
        </w:rPr>
        <w:t xml:space="preserve"> and they can interact, conserve or transfer displacement from one fault to another (Fossen 2016).</w:t>
      </w:r>
    </w:p>
    <w:p w14:paraId="59A29A2D" w14:textId="77777777" w:rsidR="007E2D6E" w:rsidRPr="009C1439" w:rsidRDefault="007E2D6E" w:rsidP="007E2D6E">
      <w:pPr>
        <w:pStyle w:val="Heading3Numbered"/>
      </w:pPr>
      <w:bookmarkStart w:id="337" w:name="_Toc42765083"/>
      <w:bookmarkStart w:id="338" w:name="_Toc66967191"/>
      <w:r w:rsidRPr="009C1439">
        <w:t>Fault architecture</w:t>
      </w:r>
      <w:bookmarkEnd w:id="337"/>
      <w:bookmarkEnd w:id="338"/>
    </w:p>
    <w:p w14:paraId="4E01A1CA" w14:textId="3B9E2D00" w:rsidR="007E2D6E" w:rsidRPr="009C1439" w:rsidRDefault="007E2D6E" w:rsidP="007E2D6E">
      <w:pPr>
        <w:pStyle w:val="BodyText"/>
        <w:rPr>
          <w:lang w:val="en-AU"/>
        </w:rPr>
      </w:pPr>
      <w:r w:rsidRPr="009C1439">
        <w:rPr>
          <w:lang w:val="en-AU"/>
        </w:rPr>
        <w:t xml:space="preserve">Fault architecture refers to the general style of faulting, </w:t>
      </w:r>
      <w:r w:rsidR="00464297" w:rsidRPr="009C1439">
        <w:rPr>
          <w:lang w:val="en-AU"/>
        </w:rPr>
        <w:t xml:space="preserve">typically </w:t>
      </w:r>
      <w:r w:rsidRPr="009C1439">
        <w:rPr>
          <w:lang w:val="en-AU"/>
        </w:rPr>
        <w:t>at the regional scale</w:t>
      </w:r>
      <w:r w:rsidR="00A04B07" w:rsidRPr="009C1439">
        <w:rPr>
          <w:lang w:val="en-AU"/>
        </w:rPr>
        <w:t>, and faulting extent</w:t>
      </w:r>
      <w:r w:rsidRPr="009C1439">
        <w:rPr>
          <w:lang w:val="en-AU"/>
        </w:rPr>
        <w:t xml:space="preserve">. </w:t>
      </w:r>
      <w:proofErr w:type="gramStart"/>
      <w:r w:rsidRPr="009C1439">
        <w:rPr>
          <w:lang w:val="en-AU"/>
        </w:rPr>
        <w:t>In particular, larger</w:t>
      </w:r>
      <w:proofErr w:type="gramEnd"/>
      <w:r w:rsidRPr="009C1439">
        <w:rPr>
          <w:lang w:val="en-AU"/>
        </w:rPr>
        <w:t xml:space="preserve"> structures can influence or cause the generation of smaller </w:t>
      </w:r>
      <w:r w:rsidR="00464297" w:rsidRPr="009C1439">
        <w:rPr>
          <w:lang w:val="en-AU"/>
        </w:rPr>
        <w:t>faults</w:t>
      </w:r>
      <w:r w:rsidRPr="009C1439">
        <w:rPr>
          <w:lang w:val="en-AU"/>
        </w:rPr>
        <w:t xml:space="preserve">. Conversely, the evolution and growth of large fault zones through the linkup of smaller fractures or faults can also result in geometrical complexity. Further information is available at Fossen (2016), particularly </w:t>
      </w:r>
      <w:r w:rsidR="00464297" w:rsidRPr="009C1439">
        <w:rPr>
          <w:lang w:val="en-AU"/>
        </w:rPr>
        <w:t>C</w:t>
      </w:r>
      <w:r w:rsidRPr="009C1439">
        <w:rPr>
          <w:lang w:val="en-AU"/>
        </w:rPr>
        <w:t xml:space="preserve">hapters 17, 18, and 19. </w:t>
      </w:r>
    </w:p>
    <w:p w14:paraId="2FA89C5F" w14:textId="77777777" w:rsidR="007E2D6E" w:rsidRPr="009C1439" w:rsidRDefault="007E2D6E" w:rsidP="007E2D6E">
      <w:pPr>
        <w:pStyle w:val="Heading3Numbered"/>
      </w:pPr>
      <w:bookmarkStart w:id="339" w:name="_Toc42765084"/>
      <w:bookmarkStart w:id="340" w:name="_Toc66967192"/>
      <w:r w:rsidRPr="009C1439">
        <w:t>Fault anatomy</w:t>
      </w:r>
      <w:bookmarkEnd w:id="339"/>
      <w:bookmarkEnd w:id="340"/>
    </w:p>
    <w:p w14:paraId="7283C81E" w14:textId="77777777" w:rsidR="007E2D6E" w:rsidRPr="009C1439" w:rsidRDefault="007E2D6E" w:rsidP="007E2D6E">
      <w:pPr>
        <w:pStyle w:val="BodyText"/>
        <w:rPr>
          <w:lang w:val="en-AU"/>
        </w:rPr>
      </w:pPr>
      <w:r w:rsidRPr="009C1439">
        <w:rPr>
          <w:lang w:val="en-AU"/>
        </w:rPr>
        <w:t>It is common to refer to the outcrop or local scale character of fault zones as fault anatomy (Fossen 2016). Key terminology that is used in this Explanatory Note are three aspects of fault zones:</w:t>
      </w:r>
    </w:p>
    <w:p w14:paraId="44A11E69" w14:textId="3E312188" w:rsidR="007E2D6E" w:rsidRPr="009C1439" w:rsidRDefault="007E2D6E" w:rsidP="007E2D6E">
      <w:pPr>
        <w:pStyle w:val="06DOTPOINTS"/>
        <w:numPr>
          <w:ilvl w:val="0"/>
          <w:numId w:val="6"/>
        </w:numPr>
        <w:spacing w:line="240" w:lineRule="auto"/>
        <w:rPr>
          <w:rFonts w:ascii="Garamond" w:hAnsi="Garamond"/>
        </w:rPr>
      </w:pPr>
      <w:r w:rsidRPr="009C1439">
        <w:rPr>
          <w:rFonts w:ascii="Garamond" w:hAnsi="Garamond"/>
        </w:rPr>
        <w:t xml:space="preserve">Principal </w:t>
      </w:r>
      <w:r w:rsidR="0086788C" w:rsidRPr="009C1439">
        <w:rPr>
          <w:rFonts w:ascii="Garamond" w:hAnsi="Garamond"/>
        </w:rPr>
        <w:t xml:space="preserve">Slip Surfaces </w:t>
      </w:r>
      <w:r w:rsidRPr="009C1439">
        <w:rPr>
          <w:rFonts w:ascii="Garamond" w:hAnsi="Garamond"/>
        </w:rPr>
        <w:t>– discrete surfaces that are the main location where most of the relative displacement of the two sides of the fault occur. These commonly have clear evidence of frictional wear processes including friction striations</w:t>
      </w:r>
      <w:r w:rsidRPr="006F4023">
        <w:rPr>
          <w:rFonts w:ascii="Garamond" w:hAnsi="Garamond"/>
        </w:rPr>
        <w:t xml:space="preserve"> and </w:t>
      </w:r>
      <w:r w:rsidR="003C7CE7" w:rsidRPr="006F4023">
        <w:rPr>
          <w:rFonts w:ascii="Garamond" w:hAnsi="Garamond"/>
        </w:rPr>
        <w:t>polishing</w:t>
      </w:r>
      <w:r w:rsidRPr="009C1439">
        <w:rPr>
          <w:rFonts w:ascii="Garamond" w:hAnsi="Garamond"/>
        </w:rPr>
        <w:t>.</w:t>
      </w:r>
    </w:p>
    <w:p w14:paraId="74187131" w14:textId="77777777" w:rsidR="007E2D6E" w:rsidRPr="009C1439" w:rsidRDefault="007E2D6E" w:rsidP="007E2D6E">
      <w:pPr>
        <w:pStyle w:val="06DOTPOINTS"/>
        <w:numPr>
          <w:ilvl w:val="0"/>
          <w:numId w:val="6"/>
        </w:numPr>
        <w:spacing w:line="240" w:lineRule="auto"/>
        <w:rPr>
          <w:rFonts w:ascii="Garamond" w:hAnsi="Garamond"/>
        </w:rPr>
      </w:pPr>
      <w:r w:rsidRPr="009C1439">
        <w:rPr>
          <w:rFonts w:ascii="Garamond" w:hAnsi="Garamond"/>
        </w:rPr>
        <w:t xml:space="preserve">Fault Core – near the principal slip surfaces, it is common, although not universal for there to be a zone of pulverised and ground rock material (also known as gouge or </w:t>
      </w:r>
      <w:proofErr w:type="spellStart"/>
      <w:r w:rsidRPr="009C1439">
        <w:rPr>
          <w:rFonts w:ascii="Garamond" w:hAnsi="Garamond"/>
        </w:rPr>
        <w:t>cataclastic</w:t>
      </w:r>
      <w:proofErr w:type="spellEnd"/>
      <w:r w:rsidRPr="009C1439">
        <w:rPr>
          <w:rFonts w:ascii="Garamond" w:hAnsi="Garamond"/>
        </w:rPr>
        <w:t xml:space="preserve"> material) derived from the surrounding rock, with a smaller grain size and possibly reduced permeability to fluid flow. </w:t>
      </w:r>
    </w:p>
    <w:p w14:paraId="68BB56D7" w14:textId="77777777" w:rsidR="007E2D6E" w:rsidRPr="009C1439" w:rsidRDefault="007E2D6E" w:rsidP="007E2D6E">
      <w:pPr>
        <w:pStyle w:val="06DOTPOINTS"/>
        <w:numPr>
          <w:ilvl w:val="0"/>
          <w:numId w:val="6"/>
        </w:numPr>
        <w:spacing w:line="240" w:lineRule="auto"/>
        <w:rPr>
          <w:rFonts w:ascii="Garamond" w:hAnsi="Garamond"/>
        </w:rPr>
      </w:pPr>
      <w:r w:rsidRPr="009C1439">
        <w:rPr>
          <w:rFonts w:ascii="Garamond" w:hAnsi="Garamond"/>
        </w:rPr>
        <w:t xml:space="preserve">Fault Damage Zone – surrounding the fault core and principal slip surfaces there may be a zone of increased fracture density in comparison to the broader host rock material. </w:t>
      </w:r>
    </w:p>
    <w:p w14:paraId="75FF61A0" w14:textId="77777777" w:rsidR="007E2D6E" w:rsidRPr="009C1439" w:rsidRDefault="007E2D6E" w:rsidP="007E2D6E">
      <w:pPr>
        <w:pStyle w:val="BodyText"/>
        <w:rPr>
          <w:lang w:val="en-AU"/>
        </w:rPr>
      </w:pPr>
      <w:r w:rsidRPr="009C1439">
        <w:rPr>
          <w:lang w:val="en-AU"/>
        </w:rPr>
        <w:t xml:space="preserve">The thickness and character of damage zones and fault core materials is of key importance to hydrogeology. These aspects determine whether the faults will act as preferential fluid flow conduits (for example enhanced flow through fractures in the fault damage zones) or as flow barriers (reduced flow because of fine-grained fault core materials). </w:t>
      </w:r>
    </w:p>
    <w:p w14:paraId="61512A10" w14:textId="77777777" w:rsidR="007E2D6E" w:rsidRPr="009C1439" w:rsidRDefault="007E2D6E" w:rsidP="007E2D6E">
      <w:pPr>
        <w:pStyle w:val="BodyText"/>
        <w:rPr>
          <w:lang w:val="en-AU"/>
        </w:rPr>
      </w:pPr>
      <w:r w:rsidRPr="009C1439">
        <w:rPr>
          <w:lang w:val="en-AU"/>
        </w:rPr>
        <w:t xml:space="preserve">In the absence of the ability to make direct, site specific measurements of fault anatomy, it is appropriate to consider references to outcrop studies for conceptualisation. Outcrop studies of faults demonstrate that fault zones are exceedingly complex, and because of this it is difficult to estimate the dimensions and properties of the principal slip surface, the fault core(s) and the damage zone using subsurface data. As such, it is appropriate to include large uncertainties or error ranges when performing calculations and simulations that might be incorporated into groundwater flow predictions. </w:t>
      </w:r>
    </w:p>
    <w:p w14:paraId="01C79A3B" w14:textId="1CDDA5F1" w:rsidR="007E2D6E" w:rsidRPr="009C1439" w:rsidRDefault="007E2D6E" w:rsidP="007E2D6E">
      <w:pPr>
        <w:pStyle w:val="BodyText"/>
        <w:rPr>
          <w:lang w:val="en-AU"/>
        </w:rPr>
      </w:pPr>
      <w:r w:rsidRPr="009C1439">
        <w:rPr>
          <w:lang w:val="en-AU"/>
        </w:rPr>
        <w:lastRenderedPageBreak/>
        <w:t xml:space="preserve">There are </w:t>
      </w:r>
      <w:proofErr w:type="gramStart"/>
      <w:r w:rsidRPr="009C1439">
        <w:rPr>
          <w:lang w:val="en-AU"/>
        </w:rPr>
        <w:t>a number of</w:t>
      </w:r>
      <w:proofErr w:type="gramEnd"/>
      <w:r w:rsidRPr="009C1439">
        <w:rPr>
          <w:lang w:val="en-AU"/>
        </w:rPr>
        <w:t xml:space="preserve"> studies that can be used as starting points for the hydrological conceptualisation of faults</w:t>
      </w:r>
      <w:r w:rsidR="006B64FF" w:rsidRPr="009C1439">
        <w:rPr>
          <w:lang w:val="en-AU"/>
        </w:rPr>
        <w:t xml:space="preserve">, including: </w:t>
      </w:r>
    </w:p>
    <w:p w14:paraId="61748AEB" w14:textId="4D0922A4" w:rsidR="007E2D6E" w:rsidRPr="009C1439" w:rsidRDefault="007E2D6E" w:rsidP="007E2D6E">
      <w:pPr>
        <w:pStyle w:val="06DOTPOINTS"/>
        <w:numPr>
          <w:ilvl w:val="0"/>
          <w:numId w:val="6"/>
        </w:numPr>
        <w:spacing w:line="240" w:lineRule="auto"/>
        <w:rPr>
          <w:rFonts w:ascii="Garamond" w:hAnsi="Garamond"/>
        </w:rPr>
      </w:pPr>
      <w:r w:rsidRPr="009C1439">
        <w:rPr>
          <w:rFonts w:ascii="Garamond" w:hAnsi="Garamond"/>
        </w:rPr>
        <w:t xml:space="preserve">scale and fault zones in interbedded clastic rocks: Fossen (2016), </w:t>
      </w:r>
      <w:proofErr w:type="spellStart"/>
      <w:r w:rsidRPr="009C1439">
        <w:rPr>
          <w:rFonts w:ascii="Garamond" w:hAnsi="Garamond"/>
        </w:rPr>
        <w:t>Davatzes</w:t>
      </w:r>
      <w:proofErr w:type="spellEnd"/>
      <w:r w:rsidRPr="009C1439">
        <w:rPr>
          <w:rFonts w:ascii="Garamond" w:hAnsi="Garamond"/>
        </w:rPr>
        <w:t xml:space="preserve"> and Aydin (2005), Shipton (2001), Schultz (2019) </w:t>
      </w:r>
      <w:r w:rsidR="00A44E58" w:rsidRPr="009C1439">
        <w:rPr>
          <w:rFonts w:ascii="Garamond" w:hAnsi="Garamond"/>
        </w:rPr>
        <w:t xml:space="preserve">and </w:t>
      </w:r>
      <w:proofErr w:type="spellStart"/>
      <w:r w:rsidR="00A44E58" w:rsidRPr="009C1439">
        <w:rPr>
          <w:rFonts w:ascii="Garamond" w:hAnsi="Garamond"/>
        </w:rPr>
        <w:t>Sosio</w:t>
      </w:r>
      <w:proofErr w:type="spellEnd"/>
      <w:r w:rsidR="00A44E58" w:rsidRPr="009C1439">
        <w:rPr>
          <w:rFonts w:ascii="Garamond" w:hAnsi="Garamond"/>
        </w:rPr>
        <w:t xml:space="preserve"> de Rosa et al. (2018</w:t>
      </w:r>
      <w:proofErr w:type="gramStart"/>
      <w:r w:rsidR="00A44E58" w:rsidRPr="009C1439">
        <w:rPr>
          <w:rFonts w:ascii="Garamond" w:hAnsi="Garamond"/>
        </w:rPr>
        <w:t>);</w:t>
      </w:r>
      <w:proofErr w:type="gramEnd"/>
      <w:r w:rsidRPr="009C1439">
        <w:rPr>
          <w:rFonts w:ascii="Garamond" w:hAnsi="Garamond"/>
        </w:rPr>
        <w:t xml:space="preserve"> </w:t>
      </w:r>
    </w:p>
    <w:p w14:paraId="4F025022" w14:textId="29F7CC2C" w:rsidR="007E2D6E" w:rsidRPr="009C1439" w:rsidRDefault="007E2D6E" w:rsidP="007E2D6E">
      <w:pPr>
        <w:pStyle w:val="06DOTPOINTS"/>
        <w:numPr>
          <w:ilvl w:val="0"/>
          <w:numId w:val="6"/>
        </w:numPr>
        <w:spacing w:line="240" w:lineRule="auto"/>
        <w:rPr>
          <w:rFonts w:ascii="Garamond" w:hAnsi="Garamond"/>
        </w:rPr>
      </w:pPr>
      <w:r w:rsidRPr="009C1439">
        <w:rPr>
          <w:rFonts w:ascii="Garamond" w:hAnsi="Garamond"/>
        </w:rPr>
        <w:t xml:space="preserve">fault transmissibility: </w:t>
      </w:r>
      <w:proofErr w:type="spellStart"/>
      <w:r w:rsidRPr="009C1439">
        <w:rPr>
          <w:rFonts w:ascii="Garamond" w:hAnsi="Garamond"/>
        </w:rPr>
        <w:t>Manzocchi</w:t>
      </w:r>
      <w:proofErr w:type="spellEnd"/>
      <w:r w:rsidRPr="009C1439">
        <w:rPr>
          <w:rFonts w:ascii="Garamond" w:hAnsi="Garamond"/>
        </w:rPr>
        <w:t xml:space="preserve"> et al. (2</w:t>
      </w:r>
      <w:r w:rsidR="00A44E58" w:rsidRPr="009C1439">
        <w:rPr>
          <w:rFonts w:ascii="Garamond" w:hAnsi="Garamond"/>
        </w:rPr>
        <w:t xml:space="preserve">010) and </w:t>
      </w:r>
      <w:proofErr w:type="spellStart"/>
      <w:r w:rsidR="00A44E58" w:rsidRPr="009C1439">
        <w:rPr>
          <w:rFonts w:ascii="Garamond" w:hAnsi="Garamond"/>
        </w:rPr>
        <w:t>Sperrevik</w:t>
      </w:r>
      <w:proofErr w:type="spellEnd"/>
      <w:r w:rsidR="00A44E58" w:rsidRPr="009C1439">
        <w:rPr>
          <w:rFonts w:ascii="Garamond" w:hAnsi="Garamond"/>
        </w:rPr>
        <w:t xml:space="preserve"> et al. 2002; and</w:t>
      </w:r>
    </w:p>
    <w:p w14:paraId="26C91560" w14:textId="77777777" w:rsidR="007E2D6E" w:rsidRPr="009C1439" w:rsidRDefault="007E2D6E" w:rsidP="007E2D6E">
      <w:pPr>
        <w:pStyle w:val="06DOTPOINTS"/>
        <w:numPr>
          <w:ilvl w:val="0"/>
          <w:numId w:val="6"/>
        </w:numPr>
        <w:spacing w:line="240" w:lineRule="auto"/>
        <w:rPr>
          <w:rFonts w:ascii="Garamond" w:hAnsi="Garamond"/>
        </w:rPr>
      </w:pPr>
      <w:r w:rsidRPr="009C1439">
        <w:rPr>
          <w:rFonts w:ascii="Garamond" w:hAnsi="Garamond"/>
        </w:rPr>
        <w:t xml:space="preserve">potential biases in conceptual models of fault zone character and anatomy: </w:t>
      </w:r>
      <w:proofErr w:type="spellStart"/>
      <w:r w:rsidRPr="009C1439">
        <w:rPr>
          <w:rFonts w:ascii="Garamond" w:hAnsi="Garamond"/>
        </w:rPr>
        <w:t>Scibek</w:t>
      </w:r>
      <w:proofErr w:type="spellEnd"/>
      <w:r w:rsidRPr="009C1439">
        <w:rPr>
          <w:rFonts w:ascii="Garamond" w:hAnsi="Garamond"/>
        </w:rPr>
        <w:t xml:space="preserve"> et al. (2016) and Shipton et al. (2019). </w:t>
      </w:r>
    </w:p>
    <w:p w14:paraId="0B45C25E" w14:textId="3884165C" w:rsidR="008F3D9F" w:rsidRDefault="007E2D6E" w:rsidP="007E2D6E">
      <w:pPr>
        <w:pStyle w:val="BodyText"/>
        <w:rPr>
          <w:lang w:val="en-AU"/>
        </w:rPr>
      </w:pPr>
      <w:r w:rsidRPr="009C1439">
        <w:rPr>
          <w:lang w:val="en-AU"/>
        </w:rPr>
        <w:t xml:space="preserve">Some studies of groundwater flow around faults tend to propose singular fault behaviour and frequently reference Caine et al. (1996), </w:t>
      </w:r>
      <w:proofErr w:type="spellStart"/>
      <w:r w:rsidRPr="009C1439">
        <w:rPr>
          <w:lang w:val="en-AU"/>
        </w:rPr>
        <w:t>Bense</w:t>
      </w:r>
      <w:proofErr w:type="spellEnd"/>
      <w:r w:rsidRPr="009C1439">
        <w:rPr>
          <w:lang w:val="en-AU"/>
        </w:rPr>
        <w:t xml:space="preserve"> et al. (2013), and Caine and </w:t>
      </w:r>
      <w:proofErr w:type="spellStart"/>
      <w:r w:rsidRPr="009C1439">
        <w:rPr>
          <w:lang w:val="en-AU"/>
        </w:rPr>
        <w:t>Tomasiuk</w:t>
      </w:r>
      <w:proofErr w:type="spellEnd"/>
      <w:r w:rsidRPr="009C1439">
        <w:rPr>
          <w:lang w:val="en-AU"/>
        </w:rPr>
        <w:t xml:space="preserve"> (2003). Cain et al. (1996) concentrate dominantly on fault zones in crystalline basement rocks, whereas </w:t>
      </w:r>
      <w:proofErr w:type="spellStart"/>
      <w:r w:rsidRPr="009C1439">
        <w:rPr>
          <w:lang w:val="en-AU"/>
        </w:rPr>
        <w:t>Bense</w:t>
      </w:r>
      <w:proofErr w:type="spellEnd"/>
      <w:r w:rsidRPr="009C1439">
        <w:rPr>
          <w:lang w:val="en-AU"/>
        </w:rPr>
        <w:t xml:space="preserve"> et al. (2013) provide a broad overview of faults in a wide range of rock types. </w:t>
      </w:r>
      <w:r w:rsidR="006C7EEF">
        <w:rPr>
          <w:lang w:val="en-AU"/>
        </w:rPr>
        <w:fldChar w:fldCharType="begin"/>
      </w:r>
      <w:r w:rsidR="006C7EEF">
        <w:rPr>
          <w:lang w:val="en-AU"/>
        </w:rPr>
        <w:instrText xml:space="preserve"> REF _Ref57021776 \h </w:instrText>
      </w:r>
      <w:r w:rsidR="006C7EEF">
        <w:rPr>
          <w:lang w:val="en-AU"/>
        </w:rPr>
      </w:r>
      <w:r w:rsidR="006C7EEF">
        <w:rPr>
          <w:lang w:val="en-AU"/>
        </w:rPr>
        <w:fldChar w:fldCharType="separate"/>
      </w:r>
      <w:r w:rsidR="00047351" w:rsidRPr="006F4023">
        <w:t xml:space="preserve">Figure </w:t>
      </w:r>
      <w:r w:rsidR="00047351">
        <w:rPr>
          <w:noProof/>
        </w:rPr>
        <w:t>3</w:t>
      </w:r>
      <w:r w:rsidR="006C7EEF">
        <w:rPr>
          <w:lang w:val="en-AU"/>
        </w:rPr>
        <w:fldChar w:fldCharType="end"/>
      </w:r>
      <w:r w:rsidR="006C7EEF">
        <w:rPr>
          <w:lang w:val="en-AU"/>
        </w:rPr>
        <w:t xml:space="preserve"> </w:t>
      </w:r>
      <w:r w:rsidRPr="009C1439">
        <w:rPr>
          <w:lang w:val="en-AU"/>
        </w:rPr>
        <w:t xml:space="preserve">provides an overview of the relative scales of observation and testing. It provides a starting point when planning geological and hydrogeological investigations. Of </w:t>
      </w:r>
      <w:proofErr w:type="gramStart"/>
      <w:r w:rsidRPr="009C1439">
        <w:rPr>
          <w:lang w:val="en-AU"/>
        </w:rPr>
        <w:t>particular note</w:t>
      </w:r>
      <w:proofErr w:type="gramEnd"/>
      <w:r w:rsidRPr="009C1439">
        <w:rPr>
          <w:lang w:val="en-AU"/>
        </w:rPr>
        <w:t xml:space="preserve"> is that the key geometric features related to faults can be inferred using geophysical and outcrop mapping. </w:t>
      </w:r>
    </w:p>
    <w:p w14:paraId="55982F23" w14:textId="77777777" w:rsidR="008F3D9F" w:rsidRDefault="008F3D9F">
      <w:pPr>
        <w:rPr>
          <w:rFonts w:ascii="Garamond" w:hAnsi="Garamond" w:cs="Calibri"/>
          <w:color w:val="000000"/>
          <w:sz w:val="20"/>
          <w:szCs w:val="20"/>
        </w:rPr>
      </w:pPr>
      <w:r>
        <w:br w:type="page"/>
      </w:r>
    </w:p>
    <w:p w14:paraId="30ABFE4C" w14:textId="06650394" w:rsidR="00FC261A" w:rsidRPr="009C1439" w:rsidRDefault="007E2D6E" w:rsidP="007E2D6E">
      <w:pPr>
        <w:pStyle w:val="Heading2Numbered"/>
      </w:pPr>
      <w:bookmarkStart w:id="341" w:name="_Toc57266994"/>
      <w:bookmarkStart w:id="342" w:name="_Toc57266995"/>
      <w:bookmarkStart w:id="343" w:name="_Toc57266996"/>
      <w:bookmarkStart w:id="344" w:name="_Toc57266997"/>
      <w:bookmarkStart w:id="345" w:name="_Toc66967193"/>
      <w:bookmarkEnd w:id="341"/>
      <w:bookmarkEnd w:id="342"/>
      <w:bookmarkEnd w:id="343"/>
      <w:bookmarkEnd w:id="344"/>
      <w:r w:rsidRPr="009C1439">
        <w:lastRenderedPageBreak/>
        <w:t xml:space="preserve">Geometry, </w:t>
      </w:r>
      <w:proofErr w:type="gramStart"/>
      <w:r w:rsidRPr="009C1439">
        <w:t>juxtaposition</w:t>
      </w:r>
      <w:proofErr w:type="gramEnd"/>
      <w:r w:rsidRPr="009C1439">
        <w:t xml:space="preserve"> and </w:t>
      </w:r>
      <w:r w:rsidR="00C7406D" w:rsidRPr="009C1439">
        <w:t>Allan Maps</w:t>
      </w:r>
      <w:bookmarkEnd w:id="345"/>
    </w:p>
    <w:p w14:paraId="5147725D" w14:textId="58CA95F9" w:rsidR="00C7406D" w:rsidRPr="009C1439" w:rsidRDefault="00C7406D" w:rsidP="00C7406D">
      <w:pPr>
        <w:pStyle w:val="BodyText"/>
        <w:rPr>
          <w:lang w:val="en-AU"/>
        </w:rPr>
      </w:pPr>
      <w:r w:rsidRPr="009C1439">
        <w:rPr>
          <w:lang w:val="en-AU"/>
        </w:rPr>
        <w:t xml:space="preserve">It is important to represent the effects of individual faults in 3D, particularly which stratigraphic and hydrological units (stratigraphic layers/aquifers/aquitards) are juxtaposed across the faults. </w:t>
      </w:r>
      <w:r w:rsidR="00F8189A" w:rsidRPr="009C1439">
        <w:rPr>
          <w:lang w:val="en-AU"/>
        </w:rPr>
        <w:t xml:space="preserve">This juxtaposition area can provide an estimate for across fault leakage potential. </w:t>
      </w:r>
      <w:r w:rsidRPr="009C1439">
        <w:rPr>
          <w:lang w:val="en-AU"/>
        </w:rPr>
        <w:t xml:space="preserve">Allan </w:t>
      </w:r>
      <w:r w:rsidR="003860ED" w:rsidRPr="009C1439">
        <w:rPr>
          <w:lang w:val="en-AU"/>
        </w:rPr>
        <w:t>Maps</w:t>
      </w:r>
      <w:r w:rsidRPr="009C1439">
        <w:rPr>
          <w:lang w:val="en-AU"/>
        </w:rPr>
        <w:t xml:space="preserve"> </w:t>
      </w:r>
      <w:r w:rsidR="00CA49C5" w:rsidRPr="009C1439">
        <w:rPr>
          <w:lang w:val="en-AU"/>
        </w:rPr>
        <w:t xml:space="preserve">can provide </w:t>
      </w:r>
      <w:r w:rsidRPr="009C1439">
        <w:rPr>
          <w:lang w:val="en-AU"/>
        </w:rPr>
        <w:t>a</w:t>
      </w:r>
      <w:r w:rsidR="00CA49C5" w:rsidRPr="009C1439">
        <w:rPr>
          <w:lang w:val="en-AU"/>
        </w:rPr>
        <w:t xml:space="preserve"> useful</w:t>
      </w:r>
      <w:r w:rsidRPr="009C1439">
        <w:rPr>
          <w:lang w:val="en-AU"/>
        </w:rPr>
        <w:t xml:space="preserve"> tool for this purpose and were first proposed or described by Allan </w:t>
      </w:r>
      <w:r w:rsidR="00464297" w:rsidRPr="009C1439">
        <w:rPr>
          <w:lang w:val="en-AU"/>
        </w:rPr>
        <w:t>(</w:t>
      </w:r>
      <w:r w:rsidRPr="009C1439">
        <w:rPr>
          <w:lang w:val="en-AU"/>
        </w:rPr>
        <w:t xml:space="preserve">1989). </w:t>
      </w:r>
    </w:p>
    <w:p w14:paraId="3CFB41F0" w14:textId="3FDEBF2F" w:rsidR="00C7406D" w:rsidRPr="009C1439" w:rsidRDefault="00C7406D" w:rsidP="00C7406D">
      <w:pPr>
        <w:pStyle w:val="BodyText"/>
        <w:rPr>
          <w:lang w:val="en-AU"/>
        </w:rPr>
      </w:pPr>
      <w:r w:rsidRPr="009C1439">
        <w:rPr>
          <w:lang w:val="en-AU"/>
        </w:rPr>
        <w:t xml:space="preserve">An Allan </w:t>
      </w:r>
      <w:r w:rsidR="003860ED" w:rsidRPr="009C1439">
        <w:rPr>
          <w:lang w:val="en-AU"/>
        </w:rPr>
        <w:t>Map</w:t>
      </w:r>
      <w:r w:rsidRPr="009C1439">
        <w:rPr>
          <w:lang w:val="en-AU"/>
        </w:rPr>
        <w:t xml:space="preserve"> is made by projecting the intersection of footwall geologic layers onto the fault surface, followed by projecting the intersection of the hanging</w:t>
      </w:r>
      <w:r w:rsidR="00235163" w:rsidRPr="009C1439">
        <w:rPr>
          <w:lang w:val="en-AU"/>
        </w:rPr>
        <w:t xml:space="preserve"> </w:t>
      </w:r>
      <w:r w:rsidRPr="009C1439">
        <w:rPr>
          <w:lang w:val="en-AU"/>
        </w:rPr>
        <w:t>wall traces onto the fault plane (</w:t>
      </w:r>
      <w:r w:rsidR="006C7EEF">
        <w:rPr>
          <w:lang w:val="en-AU"/>
        </w:rPr>
        <w:fldChar w:fldCharType="begin"/>
      </w:r>
      <w:r w:rsidR="006C7EEF">
        <w:rPr>
          <w:lang w:val="en-AU"/>
        </w:rPr>
        <w:instrText xml:space="preserve"> REF _Ref66966424 \h </w:instrText>
      </w:r>
      <w:r w:rsidR="006C7EEF">
        <w:rPr>
          <w:lang w:val="en-AU"/>
        </w:rPr>
      </w:r>
      <w:r w:rsidR="006C7EEF">
        <w:rPr>
          <w:lang w:val="en-AU"/>
        </w:rPr>
        <w:fldChar w:fldCharType="separate"/>
      </w:r>
      <w:r w:rsidR="00047351" w:rsidRPr="0038473D">
        <w:t xml:space="preserve">Figure </w:t>
      </w:r>
      <w:r w:rsidR="00047351">
        <w:rPr>
          <w:noProof/>
        </w:rPr>
        <w:t>5</w:t>
      </w:r>
      <w:r w:rsidR="006C7EEF">
        <w:rPr>
          <w:lang w:val="en-AU"/>
        </w:rPr>
        <w:fldChar w:fldCharType="end"/>
      </w:r>
      <w:r w:rsidRPr="009C1439">
        <w:rPr>
          <w:lang w:val="en-AU"/>
        </w:rPr>
        <w:t xml:space="preserve">). This workflow can be done in 3D software working with triangulations or grids of fault surfaces. In this case the Allan Map consists of a long section for the footwall superimposed (to be coplanar) with a long section of the </w:t>
      </w:r>
      <w:r w:rsidR="00235163" w:rsidRPr="009C1439">
        <w:rPr>
          <w:lang w:val="en-AU"/>
        </w:rPr>
        <w:t>hanging wall</w:t>
      </w:r>
      <w:r w:rsidRPr="009C1439">
        <w:rPr>
          <w:lang w:val="en-AU"/>
        </w:rPr>
        <w:t xml:space="preserve">. This process can readily be conducted in most mine planning and or geologic modelling software packages. Alternatively, an Allan </w:t>
      </w:r>
      <w:r w:rsidR="003860ED" w:rsidRPr="009C1439">
        <w:rPr>
          <w:lang w:val="en-AU"/>
        </w:rPr>
        <w:t>Map</w:t>
      </w:r>
      <w:r w:rsidRPr="009C1439">
        <w:rPr>
          <w:lang w:val="en-AU"/>
        </w:rPr>
        <w:t xml:space="preserve"> can be generated by hand using a depth structure contour map and graph paper.</w:t>
      </w:r>
    </w:p>
    <w:p w14:paraId="5B715226" w14:textId="195E82A3" w:rsidR="00181910" w:rsidRPr="009C1439" w:rsidRDefault="00181910" w:rsidP="00C7406D">
      <w:pPr>
        <w:pStyle w:val="BodyText"/>
        <w:rPr>
          <w:lang w:val="en-AU"/>
        </w:rPr>
      </w:pPr>
      <w:r w:rsidRPr="009C1439">
        <w:rPr>
          <w:lang w:val="en-AU"/>
        </w:rPr>
        <w:t xml:space="preserve">Another aid to visualisation of </w:t>
      </w:r>
      <w:r w:rsidR="0074414E" w:rsidRPr="009C1439">
        <w:rPr>
          <w:lang w:val="en-AU"/>
        </w:rPr>
        <w:t xml:space="preserve">juxtaposition </w:t>
      </w:r>
      <w:r w:rsidRPr="009C1439">
        <w:rPr>
          <w:lang w:val="en-AU"/>
        </w:rPr>
        <w:t xml:space="preserve">is the triangle diagram that plots stratigraphic thickness of individual units against the </w:t>
      </w:r>
      <w:r w:rsidR="0074414E" w:rsidRPr="009C1439">
        <w:rPr>
          <w:lang w:val="en-AU"/>
        </w:rPr>
        <w:t>fault displacement. This method is described and illustrated by Fossen (2016).</w:t>
      </w:r>
    </w:p>
    <w:p w14:paraId="0E1D5A19" w14:textId="77777777" w:rsidR="00C7406D" w:rsidRPr="009C1439" w:rsidRDefault="00C7406D" w:rsidP="00C7406D">
      <w:pPr>
        <w:pStyle w:val="BodyText"/>
        <w:rPr>
          <w:lang w:val="en-AU"/>
        </w:rPr>
      </w:pPr>
    </w:p>
    <w:p w14:paraId="1716369E" w14:textId="6EC593AF" w:rsidR="00C7406D" w:rsidRPr="006F4023" w:rsidRDefault="00491A26" w:rsidP="00C7406D">
      <w:pPr>
        <w:pStyle w:val="BodyText"/>
        <w:rPr>
          <w:lang w:val="en-AU"/>
        </w:rPr>
      </w:pPr>
      <w:r w:rsidRPr="006F4023">
        <w:rPr>
          <w:noProof/>
          <w:lang w:val="en-AU" w:eastAsia="en-AU"/>
        </w:rPr>
        <w:drawing>
          <wp:inline distT="0" distB="0" distL="0" distR="0" wp14:anchorId="55EA3409" wp14:editId="14DB0E7F">
            <wp:extent cx="5759450" cy="4827270"/>
            <wp:effectExtent l="0" t="0" r="0" b="0"/>
            <wp:docPr id="204775537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49"/>
                    <a:stretch>
                      <a:fillRect/>
                    </a:stretch>
                  </pic:blipFill>
                  <pic:spPr>
                    <a:xfrm>
                      <a:off x="0" y="0"/>
                      <a:ext cx="5759450" cy="4827270"/>
                    </a:xfrm>
                    <a:prstGeom prst="rect">
                      <a:avLst/>
                    </a:prstGeom>
                  </pic:spPr>
                </pic:pic>
              </a:graphicData>
            </a:graphic>
          </wp:inline>
        </w:drawing>
      </w:r>
      <w:r w:rsidRPr="006F4023">
        <w:rPr>
          <w:noProof/>
          <w:lang w:val="en-AU" w:eastAsia="en-AU"/>
        </w:rPr>
        <w:t xml:space="preserve"> </w:t>
      </w:r>
    </w:p>
    <w:p w14:paraId="4A3A1474" w14:textId="0580E4C5" w:rsidR="00C7406D" w:rsidRPr="0038473D" w:rsidRDefault="00AD5EDF" w:rsidP="00C7406D">
      <w:pPr>
        <w:pStyle w:val="Caption"/>
      </w:pPr>
      <w:bookmarkStart w:id="346" w:name="_Ref66966424"/>
      <w:r w:rsidRPr="0038473D">
        <w:t xml:space="preserve">Figure </w:t>
      </w:r>
      <w:r w:rsidRPr="006F4023">
        <w:fldChar w:fldCharType="begin"/>
      </w:r>
      <w:r w:rsidRPr="009C1439">
        <w:instrText xml:space="preserve"> SEQ Figure \* ARABIC </w:instrText>
      </w:r>
      <w:r w:rsidRPr="006F4023">
        <w:fldChar w:fldCharType="separate"/>
      </w:r>
      <w:r w:rsidR="00047351">
        <w:rPr>
          <w:noProof/>
        </w:rPr>
        <w:t>5</w:t>
      </w:r>
      <w:r w:rsidRPr="006F4023">
        <w:fldChar w:fldCharType="end"/>
      </w:r>
      <w:bookmarkEnd w:id="346"/>
      <w:r w:rsidRPr="006F4023">
        <w:t>:</w:t>
      </w:r>
      <w:r w:rsidR="00C7406D" w:rsidRPr="006F4023">
        <w:t xml:space="preserve"> Example an Allan Map. Construction can be broken down into three steps: identify the foot wall, identify the hanging wall, and then identify the overlap</w:t>
      </w:r>
      <w:r w:rsidR="00C7406D" w:rsidRPr="0038473D">
        <w:t>.</w:t>
      </w:r>
      <w:r w:rsidR="00CA49C5" w:rsidRPr="0038473D">
        <w:t xml:space="preserve"> Formations are indicated on left (brown and yellow).</w:t>
      </w:r>
    </w:p>
    <w:p w14:paraId="312F83CD" w14:textId="77777777" w:rsidR="00E751A0" w:rsidRPr="009C1439" w:rsidRDefault="00E751A0" w:rsidP="00C167F0"/>
    <w:p w14:paraId="06E02B43" w14:textId="3336F386" w:rsidR="00FC261A" w:rsidRPr="009C1439" w:rsidRDefault="00FC261A" w:rsidP="00C51958">
      <w:pPr>
        <w:pStyle w:val="Heading1Numbered"/>
        <w:numPr>
          <w:ilvl w:val="0"/>
          <w:numId w:val="5"/>
        </w:numPr>
        <w:ind w:left="567" w:hanging="567"/>
      </w:pPr>
      <w:bookmarkStart w:id="347" w:name="_Toc42765100"/>
      <w:bookmarkStart w:id="348" w:name="_Toc66967194"/>
      <w:r w:rsidRPr="009C1439">
        <w:lastRenderedPageBreak/>
        <w:t>Fault conceptualisation and identification of risk pathways</w:t>
      </w:r>
      <w:bookmarkEnd w:id="347"/>
      <w:bookmarkEnd w:id="348"/>
    </w:p>
    <w:p w14:paraId="7CB64511" w14:textId="5558D9FA" w:rsidR="00F8145E" w:rsidRPr="009C1439" w:rsidRDefault="00F8145E" w:rsidP="00A44E58">
      <w:pPr>
        <w:pStyle w:val="BodyText"/>
        <w:rPr>
          <w:lang w:val="en-AU"/>
        </w:rPr>
      </w:pPr>
      <w:r w:rsidRPr="009C1439">
        <w:rPr>
          <w:lang w:val="en-AU"/>
        </w:rPr>
        <w:t>This section considers the general steps that may be taken to conceptualise faults and the risks they pose to groundwater assets with project development. Several example scenarios are then introduced to help contextualise workflows to assess fault risks.</w:t>
      </w:r>
    </w:p>
    <w:p w14:paraId="77A98EC1" w14:textId="6D72536A" w:rsidR="00524AB3" w:rsidRPr="009C1439" w:rsidRDefault="00524AB3" w:rsidP="00C167F0">
      <w:pPr>
        <w:pStyle w:val="Heading2Numbered"/>
      </w:pPr>
      <w:bookmarkStart w:id="349" w:name="_Toc66967195"/>
      <w:r w:rsidRPr="009C1439">
        <w:t>The Hydrogeological Role of Faults</w:t>
      </w:r>
      <w:bookmarkEnd w:id="349"/>
      <w:r w:rsidRPr="009C1439">
        <w:t xml:space="preserve"> </w:t>
      </w:r>
    </w:p>
    <w:p w14:paraId="457E36BA" w14:textId="2128F41B" w:rsidR="00524AB3" w:rsidRPr="009C1439" w:rsidRDefault="00524AB3" w:rsidP="00C167F0">
      <w:pPr>
        <w:pStyle w:val="Heading3Numbered"/>
        <w:rPr>
          <w:b/>
        </w:rPr>
      </w:pPr>
      <w:bookmarkStart w:id="350" w:name="_Toc66967196"/>
      <w:r w:rsidRPr="009C1439">
        <w:t>Role of faults as barriers</w:t>
      </w:r>
      <w:bookmarkEnd w:id="350"/>
    </w:p>
    <w:p w14:paraId="1606516B" w14:textId="77777777" w:rsidR="00524AB3" w:rsidRPr="002A7BAB" w:rsidRDefault="00524AB3" w:rsidP="00C167F0">
      <w:pPr>
        <w:pStyle w:val="BodyText"/>
        <w:rPr>
          <w:lang w:val="en-AU"/>
        </w:rPr>
      </w:pPr>
      <w:r w:rsidRPr="009C1439">
        <w:rPr>
          <w:lang w:val="en-AU"/>
        </w:rPr>
        <w:t>Whilst investigations may be targeted at determining the role of faults as conduits and preferential flow paths, the influence of faults as barriers on broader groundwater flow dynamics should not be discounted. Faults can provide a barrier to groundwater flow both within the site and regionally, for example causing greater groundwater drawdown from extraction at the location of the boundary. This drawdown also has the potential to activate other faults within the area (</w:t>
      </w:r>
      <w:proofErr w:type="spellStart"/>
      <w:r w:rsidRPr="009C1439">
        <w:rPr>
          <w:lang w:val="en-AU"/>
        </w:rPr>
        <w:t>Carreόn-Freyre</w:t>
      </w:r>
      <w:proofErr w:type="spellEnd"/>
      <w:r w:rsidRPr="009C1439">
        <w:rPr>
          <w:lang w:val="en-AU"/>
        </w:rPr>
        <w:t xml:space="preserve"> et al. 2016; Hadley et al. 2019; Marshall et al. 2019).</w:t>
      </w:r>
    </w:p>
    <w:p w14:paraId="2E8C833B" w14:textId="2E832184" w:rsidR="00BF24E6" w:rsidRPr="0038473D" w:rsidRDefault="00BF24E6" w:rsidP="00C167F0">
      <w:pPr>
        <w:pStyle w:val="Heading2Numbered"/>
      </w:pPr>
      <w:bookmarkStart w:id="351" w:name="_Toc66967197"/>
      <w:r w:rsidRPr="006F4023">
        <w:t xml:space="preserve">General </w:t>
      </w:r>
      <w:r w:rsidRPr="0038473D">
        <w:t>Steps</w:t>
      </w:r>
      <w:bookmarkEnd w:id="351"/>
    </w:p>
    <w:p w14:paraId="13244CB8" w14:textId="54C829FE" w:rsidR="00793655" w:rsidRPr="009C1439" w:rsidRDefault="00793655" w:rsidP="00793655">
      <w:pPr>
        <w:pStyle w:val="BodyText"/>
        <w:rPr>
          <w:lang w:val="en-AU"/>
        </w:rPr>
      </w:pPr>
      <w:r w:rsidRPr="009C1439">
        <w:rPr>
          <w:lang w:val="en-AU"/>
        </w:rPr>
        <w:t>A large and growing number of approaches, methods and tools are available for investigating faults</w:t>
      </w:r>
      <w:r w:rsidR="00C57941" w:rsidRPr="009C1439">
        <w:rPr>
          <w:lang w:val="en-AU"/>
        </w:rPr>
        <w:t xml:space="preserve">. Within the context of the site and proposed project </w:t>
      </w:r>
      <w:r w:rsidRPr="009C1439">
        <w:rPr>
          <w:lang w:val="en-AU"/>
        </w:rPr>
        <w:t>the following steps</w:t>
      </w:r>
      <w:r w:rsidR="00C57941" w:rsidRPr="009C1439">
        <w:rPr>
          <w:lang w:val="en-AU"/>
        </w:rPr>
        <w:t xml:space="preserve"> are suggested to analyse the potential influence of a fault or faults on a groundwater asset: </w:t>
      </w:r>
    </w:p>
    <w:p w14:paraId="729FE610" w14:textId="77777777" w:rsidR="00793655" w:rsidRPr="009C1439" w:rsidRDefault="00793655" w:rsidP="00793655">
      <w:pPr>
        <w:pStyle w:val="06DOTPOINTS"/>
        <w:numPr>
          <w:ilvl w:val="0"/>
          <w:numId w:val="16"/>
        </w:numPr>
        <w:spacing w:line="240" w:lineRule="auto"/>
        <w:rPr>
          <w:rFonts w:ascii="Garamond" w:hAnsi="Garamond"/>
        </w:rPr>
      </w:pPr>
      <w:r w:rsidRPr="009C1439">
        <w:rPr>
          <w:rFonts w:ascii="Garamond" w:hAnsi="Garamond"/>
        </w:rPr>
        <w:t>Develop a geometrical understanding of the geological setting for development, including the major lithologies and their lateral continuity, the stratigraphy, and the faults or fault zones.</w:t>
      </w:r>
    </w:p>
    <w:p w14:paraId="7B49EEFE" w14:textId="77777777" w:rsidR="00793655" w:rsidRPr="009C1439" w:rsidRDefault="00793655" w:rsidP="00793655">
      <w:pPr>
        <w:pStyle w:val="06DOTPOINTS"/>
        <w:numPr>
          <w:ilvl w:val="0"/>
          <w:numId w:val="16"/>
        </w:numPr>
        <w:spacing w:line="240" w:lineRule="auto"/>
        <w:rPr>
          <w:rFonts w:ascii="Garamond" w:hAnsi="Garamond"/>
        </w:rPr>
      </w:pPr>
      <w:r w:rsidRPr="009C1439">
        <w:rPr>
          <w:rFonts w:ascii="Garamond" w:hAnsi="Garamond"/>
        </w:rPr>
        <w:t>Where necessary expand the area or depth of geological investigation to include key groundwater assets, coal seams, existing mines or CSG developments and nearby faults.</w:t>
      </w:r>
    </w:p>
    <w:p w14:paraId="5E6277CA" w14:textId="77777777" w:rsidR="00793655" w:rsidRPr="009C1439" w:rsidRDefault="00793655" w:rsidP="00793655">
      <w:pPr>
        <w:pStyle w:val="06DOTPOINTS"/>
        <w:numPr>
          <w:ilvl w:val="0"/>
          <w:numId w:val="16"/>
        </w:numPr>
        <w:spacing w:line="240" w:lineRule="auto"/>
        <w:rPr>
          <w:rFonts w:ascii="Garamond" w:hAnsi="Garamond"/>
        </w:rPr>
      </w:pPr>
      <w:r w:rsidRPr="009C1439">
        <w:rPr>
          <w:rFonts w:ascii="Garamond" w:hAnsi="Garamond"/>
        </w:rPr>
        <w:t>Use a geological model to define, estimate or otherwise constrain the properties of the aquifers and intervening aquitards within the development area.</w:t>
      </w:r>
    </w:p>
    <w:p w14:paraId="029A616B" w14:textId="77777777" w:rsidR="00793655" w:rsidRPr="009C1439" w:rsidRDefault="00793655" w:rsidP="00793655">
      <w:pPr>
        <w:pStyle w:val="06DOTPOINTS"/>
        <w:numPr>
          <w:ilvl w:val="0"/>
          <w:numId w:val="16"/>
        </w:numPr>
        <w:spacing w:line="240" w:lineRule="auto"/>
        <w:rPr>
          <w:rFonts w:ascii="Garamond" w:hAnsi="Garamond"/>
        </w:rPr>
      </w:pPr>
      <w:r w:rsidRPr="009C1439">
        <w:rPr>
          <w:rFonts w:ascii="Garamond" w:hAnsi="Garamond"/>
        </w:rPr>
        <w:t>Assess the potential that any faults may connect assets, the coal seams or excavations, and any pre-development flow pathways.</w:t>
      </w:r>
    </w:p>
    <w:p w14:paraId="779801F6" w14:textId="77777777" w:rsidR="00793655" w:rsidRPr="009C1439" w:rsidRDefault="00793655" w:rsidP="00793655">
      <w:pPr>
        <w:pStyle w:val="06DOTPOINTS"/>
        <w:numPr>
          <w:ilvl w:val="0"/>
          <w:numId w:val="16"/>
        </w:numPr>
        <w:spacing w:line="240" w:lineRule="auto"/>
        <w:rPr>
          <w:rFonts w:ascii="Garamond" w:hAnsi="Garamond"/>
        </w:rPr>
      </w:pPr>
      <w:r w:rsidRPr="009C1439">
        <w:rPr>
          <w:rFonts w:ascii="Garamond" w:hAnsi="Garamond"/>
        </w:rPr>
        <w:t>Using the 3D geometry, enumerate potential pathways between the groundwater assets and the coal seams or excavations, including those that involve flow either across or along fault zones.</w:t>
      </w:r>
    </w:p>
    <w:p w14:paraId="1D902E23" w14:textId="77777777" w:rsidR="00793655" w:rsidRPr="009C1439" w:rsidRDefault="00793655" w:rsidP="00793655">
      <w:pPr>
        <w:pStyle w:val="BodyText"/>
        <w:rPr>
          <w:lang w:val="en-AU"/>
        </w:rPr>
      </w:pPr>
      <w:r w:rsidRPr="009C1439">
        <w:rPr>
          <w:lang w:val="en-AU"/>
        </w:rPr>
        <w:t xml:space="preserve">Once an initial assessment has been undertaken, the following further assessments may be required: </w:t>
      </w:r>
    </w:p>
    <w:p w14:paraId="3F46B12F" w14:textId="77777777" w:rsidR="00793655" w:rsidRPr="009C1439" w:rsidRDefault="00793655" w:rsidP="00793655">
      <w:pPr>
        <w:pStyle w:val="06DOTPOINTS"/>
        <w:numPr>
          <w:ilvl w:val="0"/>
          <w:numId w:val="16"/>
        </w:numPr>
        <w:spacing w:line="240" w:lineRule="auto"/>
        <w:rPr>
          <w:rFonts w:ascii="Garamond" w:hAnsi="Garamond"/>
        </w:rPr>
      </w:pPr>
      <w:r w:rsidRPr="009C1439">
        <w:rPr>
          <w:rFonts w:ascii="Garamond" w:hAnsi="Garamond"/>
        </w:rPr>
        <w:t>Estimate or constrain the pre-development hydrogeological character, including the flow pathways and the rates and magnitudes of recharge and discharge for the key assets.</w:t>
      </w:r>
    </w:p>
    <w:p w14:paraId="160821F5" w14:textId="77777777" w:rsidR="00793655" w:rsidRPr="009C1439" w:rsidRDefault="00793655" w:rsidP="00793655">
      <w:pPr>
        <w:pStyle w:val="06DOTPOINTS"/>
        <w:numPr>
          <w:ilvl w:val="0"/>
          <w:numId w:val="16"/>
        </w:numPr>
        <w:spacing w:line="240" w:lineRule="auto"/>
        <w:rPr>
          <w:rFonts w:ascii="Garamond" w:hAnsi="Garamond"/>
        </w:rPr>
      </w:pPr>
      <w:r w:rsidRPr="009C1439">
        <w:rPr>
          <w:rFonts w:ascii="Garamond" w:hAnsi="Garamond"/>
        </w:rPr>
        <w:t>For each flow pathway, estimate the rate and magnitude of both pre-development, and post-development flow.</w:t>
      </w:r>
    </w:p>
    <w:p w14:paraId="510B6B3A" w14:textId="2536BABB" w:rsidR="00793655" w:rsidRPr="009C1439" w:rsidRDefault="00793655" w:rsidP="00793655">
      <w:pPr>
        <w:pStyle w:val="06DOTPOINTS"/>
        <w:numPr>
          <w:ilvl w:val="0"/>
          <w:numId w:val="16"/>
        </w:numPr>
        <w:spacing w:line="240" w:lineRule="auto"/>
        <w:rPr>
          <w:rFonts w:ascii="Garamond" w:hAnsi="Garamond"/>
        </w:rPr>
      </w:pPr>
      <w:r w:rsidRPr="009C1439">
        <w:rPr>
          <w:rFonts w:ascii="Garamond" w:hAnsi="Garamond"/>
        </w:rPr>
        <w:t>Calculate the probability of each potential flow pathway to extract water from the asset(s)</w:t>
      </w:r>
      <w:r w:rsidR="00A04B07" w:rsidRPr="009C1439">
        <w:rPr>
          <w:rFonts w:ascii="Garamond" w:hAnsi="Garamond"/>
        </w:rPr>
        <w:t>, which may be qualitative</w:t>
      </w:r>
      <w:r w:rsidRPr="009C1439">
        <w:rPr>
          <w:rFonts w:ascii="Garamond" w:hAnsi="Garamond"/>
        </w:rPr>
        <w:t>.</w:t>
      </w:r>
    </w:p>
    <w:p w14:paraId="3E1D64E4" w14:textId="61DDC522" w:rsidR="00793655" w:rsidRPr="009C1439" w:rsidRDefault="00793655" w:rsidP="00793655">
      <w:pPr>
        <w:pStyle w:val="06DOTPOINTS"/>
        <w:numPr>
          <w:ilvl w:val="0"/>
          <w:numId w:val="16"/>
        </w:numPr>
        <w:spacing w:line="240" w:lineRule="auto"/>
        <w:rPr>
          <w:rFonts w:ascii="Garamond" w:hAnsi="Garamond"/>
        </w:rPr>
      </w:pPr>
      <w:r w:rsidRPr="009C1439">
        <w:rPr>
          <w:rFonts w:ascii="Garamond" w:hAnsi="Garamond"/>
        </w:rPr>
        <w:t xml:space="preserve">Produce a summary of the rate and magnitude of the post-development and the pre-development groundwater flows through the lifecycle of the development and use this summary to determine if any of the fault-related pathways are </w:t>
      </w:r>
      <w:r w:rsidR="00A04B07" w:rsidRPr="009C1439">
        <w:rPr>
          <w:rFonts w:ascii="Garamond" w:hAnsi="Garamond"/>
        </w:rPr>
        <w:t xml:space="preserve">possible </w:t>
      </w:r>
      <w:r w:rsidRPr="009C1439">
        <w:rPr>
          <w:rFonts w:ascii="Garamond" w:hAnsi="Garamond"/>
        </w:rPr>
        <w:t>causal pathways.</w:t>
      </w:r>
    </w:p>
    <w:p w14:paraId="08B449FC" w14:textId="687F1CE3" w:rsidR="00793655" w:rsidRPr="009C1439" w:rsidRDefault="00793655" w:rsidP="00793655">
      <w:pPr>
        <w:pStyle w:val="06DOTPOINTS"/>
        <w:numPr>
          <w:ilvl w:val="0"/>
          <w:numId w:val="16"/>
        </w:numPr>
        <w:spacing w:line="240" w:lineRule="auto"/>
        <w:rPr>
          <w:rFonts w:ascii="Garamond" w:hAnsi="Garamond"/>
        </w:rPr>
      </w:pPr>
      <w:r w:rsidRPr="009C1439">
        <w:rPr>
          <w:rFonts w:ascii="Garamond" w:hAnsi="Garamond"/>
        </w:rPr>
        <w:t xml:space="preserve">Finally, assess the probability </w:t>
      </w:r>
      <w:r w:rsidR="00A04B07" w:rsidRPr="009C1439">
        <w:rPr>
          <w:rFonts w:ascii="Garamond" w:hAnsi="Garamond"/>
        </w:rPr>
        <w:t xml:space="preserve">or likelihood </w:t>
      </w:r>
      <w:r w:rsidRPr="009C1439">
        <w:rPr>
          <w:rFonts w:ascii="Garamond" w:hAnsi="Garamond"/>
        </w:rPr>
        <w:t>that the development-related flow has an adverse impact on the asset or assets through the lifecycle of the development.</w:t>
      </w:r>
    </w:p>
    <w:p w14:paraId="1729BA60" w14:textId="1DFFCD9E" w:rsidR="00E04A64" w:rsidRPr="009C1439" w:rsidRDefault="00E04A64" w:rsidP="00C167F0">
      <w:pPr>
        <w:pStyle w:val="Heading2Numbered"/>
      </w:pPr>
      <w:bookmarkStart w:id="352" w:name="_Toc66967198"/>
      <w:r w:rsidRPr="009C1439">
        <w:t>Conceptual Scenarios</w:t>
      </w:r>
      <w:bookmarkEnd w:id="352"/>
    </w:p>
    <w:p w14:paraId="4DFC4D7A" w14:textId="39B94DD5" w:rsidR="00E04A64" w:rsidRPr="009C1439" w:rsidRDefault="000B1900" w:rsidP="009407C7">
      <w:pPr>
        <w:pStyle w:val="BodyText"/>
        <w:rPr>
          <w:lang w:val="en-AU"/>
        </w:rPr>
      </w:pPr>
      <w:proofErr w:type="gramStart"/>
      <w:r w:rsidRPr="009C1439">
        <w:rPr>
          <w:lang w:val="en-AU"/>
        </w:rPr>
        <w:t xml:space="preserve">A number </w:t>
      </w:r>
      <w:r w:rsidR="00E04A64" w:rsidRPr="009C1439">
        <w:rPr>
          <w:lang w:val="en-AU"/>
        </w:rPr>
        <w:t>of</w:t>
      </w:r>
      <w:proofErr w:type="gramEnd"/>
      <w:r w:rsidR="00E04A64" w:rsidRPr="009C1439">
        <w:rPr>
          <w:lang w:val="en-AU"/>
        </w:rPr>
        <w:t xml:space="preserve"> </w:t>
      </w:r>
      <w:r w:rsidR="00FC261A" w:rsidRPr="009C1439">
        <w:rPr>
          <w:lang w:val="en-AU"/>
        </w:rPr>
        <w:t xml:space="preserve">conceptual scenarios </w:t>
      </w:r>
      <w:r w:rsidR="00E04A64" w:rsidRPr="009C1439">
        <w:rPr>
          <w:lang w:val="en-AU"/>
        </w:rPr>
        <w:t xml:space="preserve">are </w:t>
      </w:r>
      <w:r w:rsidRPr="009C1439">
        <w:rPr>
          <w:lang w:val="en-AU"/>
        </w:rPr>
        <w:t xml:space="preserve">now </w:t>
      </w:r>
      <w:r w:rsidR="00E04A64" w:rsidRPr="009C1439">
        <w:rPr>
          <w:lang w:val="en-AU"/>
        </w:rPr>
        <w:t>introduced to contextualise workflow</w:t>
      </w:r>
      <w:r w:rsidRPr="009C1439">
        <w:rPr>
          <w:lang w:val="en-AU"/>
        </w:rPr>
        <w:t>s</w:t>
      </w:r>
      <w:r w:rsidR="00E04A64" w:rsidRPr="009C1439">
        <w:rPr>
          <w:lang w:val="en-AU"/>
        </w:rPr>
        <w:t xml:space="preserve"> </w:t>
      </w:r>
      <w:r w:rsidRPr="009C1439">
        <w:rPr>
          <w:lang w:val="en-AU"/>
        </w:rPr>
        <w:t xml:space="preserve">for </w:t>
      </w:r>
      <w:r w:rsidR="00E04A64" w:rsidRPr="009C1439">
        <w:rPr>
          <w:lang w:val="en-AU"/>
        </w:rPr>
        <w:t>assess</w:t>
      </w:r>
      <w:r w:rsidRPr="009C1439">
        <w:rPr>
          <w:lang w:val="en-AU"/>
        </w:rPr>
        <w:t>ing</w:t>
      </w:r>
      <w:r w:rsidR="00E04A64" w:rsidRPr="009C1439">
        <w:rPr>
          <w:lang w:val="en-AU"/>
        </w:rPr>
        <w:t xml:space="preserve"> fault-related risk</w:t>
      </w:r>
      <w:r w:rsidRPr="009C1439">
        <w:rPr>
          <w:lang w:val="en-AU"/>
        </w:rPr>
        <w:t xml:space="preserve"> in different development settings</w:t>
      </w:r>
      <w:r w:rsidR="00E04A64" w:rsidRPr="009C1439">
        <w:rPr>
          <w:lang w:val="en-AU"/>
        </w:rPr>
        <w:t>. The scenarios illustrating differing situations and degrees of risk posed by faults to groundwater assets are:</w:t>
      </w:r>
    </w:p>
    <w:p w14:paraId="49A95E40" w14:textId="3FA65E97" w:rsidR="00E04A64" w:rsidRPr="009C1439" w:rsidRDefault="00E04A64" w:rsidP="00520626">
      <w:pPr>
        <w:pStyle w:val="TableText"/>
        <w:numPr>
          <w:ilvl w:val="0"/>
          <w:numId w:val="47"/>
        </w:numPr>
        <w:tabs>
          <w:tab w:val="left" w:pos="4255"/>
        </w:tabs>
        <w:rPr>
          <w:lang w:val="en-AU"/>
        </w:rPr>
      </w:pPr>
      <w:r w:rsidRPr="009C1439">
        <w:rPr>
          <w:lang w:val="en-AU"/>
        </w:rPr>
        <w:t xml:space="preserve">Scenario </w:t>
      </w:r>
      <w:r w:rsidR="00010C71" w:rsidRPr="009C1439">
        <w:rPr>
          <w:lang w:val="en-AU"/>
        </w:rPr>
        <w:t>A-1</w:t>
      </w:r>
      <w:r w:rsidRPr="009C1439">
        <w:rPr>
          <w:lang w:val="en-AU"/>
        </w:rPr>
        <w:t xml:space="preserve"> - Faults are unlikely to affect groundwater flow:</w:t>
      </w:r>
    </w:p>
    <w:p w14:paraId="77748350" w14:textId="380241F6" w:rsidR="00E04A64" w:rsidRPr="009C1439" w:rsidRDefault="00E04A64" w:rsidP="00C167F0">
      <w:pPr>
        <w:pStyle w:val="TableText"/>
        <w:numPr>
          <w:ilvl w:val="1"/>
          <w:numId w:val="47"/>
        </w:numPr>
        <w:tabs>
          <w:tab w:val="left" w:pos="4255"/>
        </w:tabs>
        <w:rPr>
          <w:lang w:val="en-AU"/>
        </w:rPr>
      </w:pPr>
      <w:r w:rsidRPr="009C1439">
        <w:rPr>
          <w:lang w:val="en-AU"/>
        </w:rPr>
        <w:t>There are no faults.</w:t>
      </w:r>
    </w:p>
    <w:p w14:paraId="5508B18E" w14:textId="6C87ABB5" w:rsidR="00E04A64" w:rsidRPr="009C1439" w:rsidRDefault="00E04A64" w:rsidP="00520626">
      <w:pPr>
        <w:pStyle w:val="TableText"/>
        <w:numPr>
          <w:ilvl w:val="0"/>
          <w:numId w:val="47"/>
        </w:numPr>
        <w:tabs>
          <w:tab w:val="left" w:pos="4255"/>
        </w:tabs>
        <w:rPr>
          <w:lang w:val="en-AU"/>
        </w:rPr>
      </w:pPr>
      <w:r w:rsidRPr="009C1439">
        <w:rPr>
          <w:lang w:val="en-AU"/>
        </w:rPr>
        <w:lastRenderedPageBreak/>
        <w:t xml:space="preserve">Scenario </w:t>
      </w:r>
      <w:r w:rsidR="00010C71" w:rsidRPr="009C1439">
        <w:rPr>
          <w:lang w:val="en-AU"/>
        </w:rPr>
        <w:t>A-2</w:t>
      </w:r>
      <w:r w:rsidRPr="009C1439">
        <w:rPr>
          <w:lang w:val="en-AU"/>
        </w:rPr>
        <w:t xml:space="preserve"> - Faults are unlikely to affect groundwater flow due to </w:t>
      </w:r>
      <w:r w:rsidR="000B1900" w:rsidRPr="009C1439">
        <w:rPr>
          <w:lang w:val="en-AU"/>
        </w:rPr>
        <w:t xml:space="preserve">an </w:t>
      </w:r>
      <w:r w:rsidRPr="009C1439">
        <w:rPr>
          <w:lang w:val="en-AU"/>
        </w:rPr>
        <w:t>aquitard</w:t>
      </w:r>
      <w:r w:rsidR="000B1900" w:rsidRPr="009C1439">
        <w:rPr>
          <w:lang w:val="en-AU"/>
        </w:rPr>
        <w:t>:</w:t>
      </w:r>
    </w:p>
    <w:p w14:paraId="4372857B" w14:textId="37B27A40" w:rsidR="00E04A64" w:rsidRPr="009C1439" w:rsidRDefault="00E04A64" w:rsidP="00C167F0">
      <w:pPr>
        <w:pStyle w:val="TableText"/>
        <w:numPr>
          <w:ilvl w:val="1"/>
          <w:numId w:val="47"/>
        </w:numPr>
        <w:tabs>
          <w:tab w:val="left" w:pos="4255"/>
        </w:tabs>
        <w:rPr>
          <w:lang w:val="en-AU"/>
        </w:rPr>
      </w:pPr>
      <w:r w:rsidRPr="009C1439">
        <w:rPr>
          <w:lang w:val="en-AU"/>
        </w:rPr>
        <w:t>There is a regional aquitard separating the groundwater asset or aquifer from the coal seam or excavation, and this aquitard is not breached by faults. No primary juxtaposition of flow units across the faults is present.</w:t>
      </w:r>
    </w:p>
    <w:p w14:paraId="5C05BE2E" w14:textId="2B23C54F" w:rsidR="00E04A64" w:rsidRPr="009C1439" w:rsidRDefault="00E04A64" w:rsidP="00520626">
      <w:pPr>
        <w:pStyle w:val="TableText"/>
        <w:numPr>
          <w:ilvl w:val="0"/>
          <w:numId w:val="47"/>
        </w:numPr>
        <w:tabs>
          <w:tab w:val="left" w:pos="4255"/>
        </w:tabs>
        <w:rPr>
          <w:lang w:val="en-AU"/>
        </w:rPr>
      </w:pPr>
      <w:r w:rsidRPr="009C1439">
        <w:rPr>
          <w:lang w:val="en-AU"/>
        </w:rPr>
        <w:t>Scenario B - Faults are potentially important within aquifers</w:t>
      </w:r>
      <w:r w:rsidR="000B1900" w:rsidRPr="009C1439">
        <w:rPr>
          <w:lang w:val="en-AU"/>
        </w:rPr>
        <w:t>:</w:t>
      </w:r>
    </w:p>
    <w:p w14:paraId="544412A1" w14:textId="3B44DE02" w:rsidR="00E04A64" w:rsidRPr="009C1439" w:rsidRDefault="00E04A64" w:rsidP="00C167F0">
      <w:pPr>
        <w:pStyle w:val="TableText"/>
        <w:numPr>
          <w:ilvl w:val="1"/>
          <w:numId w:val="47"/>
        </w:numPr>
        <w:tabs>
          <w:tab w:val="left" w:pos="4255"/>
        </w:tabs>
        <w:rPr>
          <w:lang w:val="en-AU"/>
        </w:rPr>
      </w:pPr>
      <w:r w:rsidRPr="009C1439">
        <w:rPr>
          <w:lang w:val="en-AU"/>
        </w:rPr>
        <w:t>There are no regional aquitards in the development region that segregate the groundwater asset or aquifer from the coal seam or excavation.</w:t>
      </w:r>
    </w:p>
    <w:p w14:paraId="3A5C1A65" w14:textId="16552C69" w:rsidR="00E04A64" w:rsidRPr="009C1439" w:rsidRDefault="00E04A64" w:rsidP="00520626">
      <w:pPr>
        <w:pStyle w:val="TableText"/>
        <w:numPr>
          <w:ilvl w:val="0"/>
          <w:numId w:val="47"/>
        </w:numPr>
        <w:tabs>
          <w:tab w:val="left" w:pos="4255"/>
        </w:tabs>
        <w:rPr>
          <w:lang w:val="en-AU"/>
        </w:rPr>
      </w:pPr>
      <w:r w:rsidRPr="009C1439">
        <w:rPr>
          <w:lang w:val="en-AU"/>
        </w:rPr>
        <w:t>Scenario C - Faults are important within aquifer-aquitard systems</w:t>
      </w:r>
      <w:r w:rsidR="000B1900" w:rsidRPr="009C1439">
        <w:rPr>
          <w:lang w:val="en-AU"/>
        </w:rPr>
        <w:t>:</w:t>
      </w:r>
    </w:p>
    <w:p w14:paraId="4F3D86B8" w14:textId="4FC0D0E9" w:rsidR="00E04A64" w:rsidRPr="009C1439" w:rsidRDefault="00E04A64" w:rsidP="00C167F0">
      <w:pPr>
        <w:pStyle w:val="TableText"/>
        <w:numPr>
          <w:ilvl w:val="1"/>
          <w:numId w:val="47"/>
        </w:numPr>
        <w:tabs>
          <w:tab w:val="left" w:pos="4255"/>
        </w:tabs>
        <w:rPr>
          <w:lang w:val="en-AU"/>
        </w:rPr>
      </w:pPr>
      <w:r w:rsidRPr="009C1439">
        <w:rPr>
          <w:lang w:val="en-AU"/>
        </w:rPr>
        <w:t>Faulting displaces regional aquitards, thus connecting the asset or aquifer to the coal seam by generating primary juxtaposition.</w:t>
      </w:r>
    </w:p>
    <w:p w14:paraId="34FCDE25" w14:textId="14EBAB30" w:rsidR="00E04A64" w:rsidRPr="009C1439" w:rsidRDefault="00E04A64" w:rsidP="00520626">
      <w:pPr>
        <w:pStyle w:val="TableText"/>
        <w:numPr>
          <w:ilvl w:val="0"/>
          <w:numId w:val="47"/>
        </w:numPr>
        <w:tabs>
          <w:tab w:val="left" w:pos="4255"/>
        </w:tabs>
        <w:spacing w:line="259" w:lineRule="auto"/>
        <w:rPr>
          <w:lang w:val="en-AU"/>
        </w:rPr>
      </w:pPr>
      <w:r w:rsidRPr="009C1439">
        <w:rPr>
          <w:lang w:val="en-AU"/>
        </w:rPr>
        <w:t xml:space="preserve">Scenario D - Differential subsidence leading to increased flow along existing or </w:t>
      </w:r>
      <w:r w:rsidR="0086788C" w:rsidRPr="009C1439">
        <w:rPr>
          <w:lang w:val="en-AU"/>
        </w:rPr>
        <w:t>induced</w:t>
      </w:r>
      <w:r w:rsidRPr="009C1439">
        <w:rPr>
          <w:lang w:val="en-AU"/>
        </w:rPr>
        <w:t xml:space="preserve"> fractures</w:t>
      </w:r>
      <w:r w:rsidR="000B1900" w:rsidRPr="009C1439">
        <w:rPr>
          <w:lang w:val="en-AU"/>
        </w:rPr>
        <w:t>:</w:t>
      </w:r>
    </w:p>
    <w:p w14:paraId="170072E7" w14:textId="28983327" w:rsidR="00E04A64" w:rsidRPr="006F4023" w:rsidRDefault="00E04A64" w:rsidP="00C167F0">
      <w:pPr>
        <w:pStyle w:val="TableText"/>
        <w:numPr>
          <w:ilvl w:val="1"/>
          <w:numId w:val="47"/>
        </w:numPr>
        <w:tabs>
          <w:tab w:val="left" w:pos="4255"/>
        </w:tabs>
        <w:spacing w:line="259" w:lineRule="auto"/>
        <w:rPr>
          <w:lang w:val="en-AU"/>
        </w:rPr>
      </w:pPr>
      <w:r w:rsidRPr="009C1439">
        <w:rPr>
          <w:lang w:val="en-AU"/>
        </w:rPr>
        <w:t xml:space="preserve">Differential </w:t>
      </w:r>
      <w:r w:rsidR="00D6204C" w:rsidRPr="009C1439">
        <w:rPr>
          <w:lang w:val="en-AU"/>
        </w:rPr>
        <w:t xml:space="preserve">movement </w:t>
      </w:r>
      <w:proofErr w:type="gramStart"/>
      <w:r w:rsidR="00D6204C" w:rsidRPr="009C1439">
        <w:rPr>
          <w:lang w:val="en-AU"/>
        </w:rPr>
        <w:t>as a result of</w:t>
      </w:r>
      <w:proofErr w:type="gramEnd"/>
      <w:r w:rsidR="00D6204C" w:rsidRPr="009C1439">
        <w:rPr>
          <w:lang w:val="en-AU"/>
        </w:rPr>
        <w:t xml:space="preserve"> mine </w:t>
      </w:r>
      <w:r w:rsidRPr="009C1439">
        <w:rPr>
          <w:lang w:val="en-AU"/>
        </w:rPr>
        <w:t xml:space="preserve">subsidence reactivates faults and fractures or </w:t>
      </w:r>
      <w:r w:rsidR="00D6204C" w:rsidRPr="009C1439">
        <w:rPr>
          <w:lang w:val="en-AU"/>
        </w:rPr>
        <w:t xml:space="preserve">develops </w:t>
      </w:r>
      <w:r w:rsidRPr="009C1439">
        <w:rPr>
          <w:lang w:val="en-AU"/>
        </w:rPr>
        <w:t xml:space="preserve">new faults and fractures in previously </w:t>
      </w:r>
      <w:proofErr w:type="spellStart"/>
      <w:r w:rsidRPr="009C1439">
        <w:rPr>
          <w:lang w:val="en-AU"/>
        </w:rPr>
        <w:t>unfaulted</w:t>
      </w:r>
      <w:proofErr w:type="spellEnd"/>
      <w:r w:rsidRPr="009C1439">
        <w:rPr>
          <w:lang w:val="en-AU"/>
        </w:rPr>
        <w:t xml:space="preserve"> or unfractured </w:t>
      </w:r>
      <w:r w:rsidR="00D6204C" w:rsidRPr="009C1439">
        <w:rPr>
          <w:lang w:val="en-AU"/>
        </w:rPr>
        <w:t>strata</w:t>
      </w:r>
      <w:r w:rsidRPr="009C1439">
        <w:rPr>
          <w:lang w:val="en-AU"/>
        </w:rPr>
        <w:t xml:space="preserve">. This scenario is </w:t>
      </w:r>
      <w:r w:rsidR="00A150BB" w:rsidRPr="009C1439">
        <w:rPr>
          <w:lang w:val="en-AU"/>
        </w:rPr>
        <w:t>most applicable</w:t>
      </w:r>
      <w:r w:rsidRPr="009C1439">
        <w:rPr>
          <w:lang w:val="en-AU"/>
        </w:rPr>
        <w:t xml:space="preserve"> to underground mines</w:t>
      </w:r>
      <w:r w:rsidR="00A150BB" w:rsidRPr="009C1439">
        <w:rPr>
          <w:lang w:val="en-AU"/>
        </w:rPr>
        <w:t xml:space="preserve">, </w:t>
      </w:r>
      <w:r w:rsidR="006B64FF" w:rsidRPr="009C1439">
        <w:rPr>
          <w:lang w:val="en-AU"/>
        </w:rPr>
        <w:t xml:space="preserve">and </w:t>
      </w:r>
      <w:r w:rsidR="00EC5DE7" w:rsidRPr="009C1439">
        <w:rPr>
          <w:lang w:val="en-AU"/>
        </w:rPr>
        <w:t>might</w:t>
      </w:r>
      <w:r w:rsidR="00A150BB" w:rsidRPr="009C1439">
        <w:rPr>
          <w:lang w:val="en-AU"/>
        </w:rPr>
        <w:t xml:space="preserve"> be mitigated through mine design</w:t>
      </w:r>
      <w:r w:rsidR="00A150BB" w:rsidRPr="006F4023">
        <w:rPr>
          <w:lang w:val="en-AU"/>
        </w:rPr>
        <w:t>,</w:t>
      </w:r>
      <w:r w:rsidRPr="006F4023">
        <w:rPr>
          <w:lang w:val="en-AU"/>
        </w:rPr>
        <w:t xml:space="preserve"> but could also occur in open cut mining</w:t>
      </w:r>
      <w:r w:rsidR="0086788C" w:rsidRPr="0038473D">
        <w:rPr>
          <w:lang w:val="en-AU"/>
        </w:rPr>
        <w:t xml:space="preserve"> or gas operations</w:t>
      </w:r>
      <w:r w:rsidRPr="0038473D">
        <w:rPr>
          <w:lang w:val="en-AU"/>
        </w:rPr>
        <w:t>.</w:t>
      </w:r>
    </w:p>
    <w:p w14:paraId="79AEF095" w14:textId="644CB390" w:rsidR="00BF24E6" w:rsidRPr="006F4023" w:rsidRDefault="00E04A64" w:rsidP="00E04A64">
      <w:pPr>
        <w:pStyle w:val="BodyText"/>
        <w:rPr>
          <w:lang w:val="en-AU"/>
        </w:rPr>
      </w:pPr>
      <w:r w:rsidRPr="006F4023">
        <w:rPr>
          <w:lang w:val="en-AU"/>
        </w:rPr>
        <w:t xml:space="preserve">Table 1 (below and in the Executive Summary) sets out features that may cause connection, analyses that a proponent may consider and suggested approaches for characterisation of uncertainty and risk. The table </w:t>
      </w:r>
      <w:r w:rsidR="00BF24E6" w:rsidRPr="006F4023">
        <w:rPr>
          <w:lang w:val="en-AU"/>
        </w:rPr>
        <w:t>presents</w:t>
      </w:r>
      <w:r w:rsidRPr="006F4023">
        <w:rPr>
          <w:lang w:val="en-AU"/>
        </w:rPr>
        <w:t xml:space="preserve"> at the highest level, a range of available approaches. </w:t>
      </w:r>
    </w:p>
    <w:p w14:paraId="60E8705F" w14:textId="6F7C7906" w:rsidR="00FC261A" w:rsidRPr="006F4023" w:rsidRDefault="00BF24E6" w:rsidP="00A241C5">
      <w:pPr>
        <w:pStyle w:val="BodyText"/>
        <w:rPr>
          <w:lang w:val="en-AU"/>
        </w:rPr>
      </w:pPr>
      <w:r w:rsidRPr="006F4023">
        <w:rPr>
          <w:lang w:val="en-AU"/>
        </w:rPr>
        <w:t>T</w:t>
      </w:r>
      <w:r w:rsidR="00FC261A" w:rsidRPr="006F4023">
        <w:rPr>
          <w:lang w:val="en-AU"/>
        </w:rPr>
        <w:t xml:space="preserve">o </w:t>
      </w:r>
      <w:r w:rsidRPr="006F4023">
        <w:rPr>
          <w:lang w:val="en-AU"/>
        </w:rPr>
        <w:t xml:space="preserve">further </w:t>
      </w:r>
      <w:r w:rsidR="00FC261A" w:rsidRPr="006F4023">
        <w:rPr>
          <w:lang w:val="en-AU"/>
        </w:rPr>
        <w:t>contextualise assess</w:t>
      </w:r>
      <w:r w:rsidRPr="006F4023">
        <w:rPr>
          <w:lang w:val="en-AU"/>
        </w:rPr>
        <w:t>ment of</w:t>
      </w:r>
      <w:r w:rsidR="00FC261A" w:rsidRPr="006F4023">
        <w:rPr>
          <w:lang w:val="en-AU"/>
        </w:rPr>
        <w:t xml:space="preserve"> fault-related risk, the conceptual scenarios presented in Table 1</w:t>
      </w:r>
      <w:r w:rsidR="00E04A64" w:rsidRPr="006F4023">
        <w:rPr>
          <w:lang w:val="en-AU"/>
        </w:rPr>
        <w:t xml:space="preserve"> are further developed </w:t>
      </w:r>
      <w:r w:rsidRPr="006F4023">
        <w:rPr>
          <w:lang w:val="en-AU"/>
        </w:rPr>
        <w:t xml:space="preserve">into </w:t>
      </w:r>
      <w:r w:rsidR="00FC261A" w:rsidRPr="006F4023">
        <w:rPr>
          <w:lang w:val="en-AU"/>
        </w:rPr>
        <w:t xml:space="preserve">case study-like examples </w:t>
      </w:r>
      <w:r w:rsidRPr="006F4023">
        <w:rPr>
          <w:lang w:val="en-AU"/>
        </w:rPr>
        <w:t xml:space="preserve">presented in Appendices. </w:t>
      </w:r>
      <w:r w:rsidR="00FC261A" w:rsidRPr="006F4023">
        <w:rPr>
          <w:lang w:val="en-AU"/>
        </w:rPr>
        <w:t>Proponents are encouraged to consider the scenarios in Table 1</w:t>
      </w:r>
      <w:r w:rsidRPr="006F4023">
        <w:rPr>
          <w:lang w:val="en-AU"/>
        </w:rPr>
        <w:t xml:space="preserve"> and the case study-like examples in Appendices</w:t>
      </w:r>
      <w:r w:rsidR="00FC261A" w:rsidRPr="006F4023">
        <w:rPr>
          <w:lang w:val="en-AU"/>
        </w:rPr>
        <w:t xml:space="preserve"> when planning </w:t>
      </w:r>
      <w:r w:rsidR="002B4434" w:rsidRPr="006F4023">
        <w:rPr>
          <w:lang w:val="en-AU"/>
        </w:rPr>
        <w:t>environmental impact assessments</w:t>
      </w:r>
      <w:r w:rsidRPr="006F4023">
        <w:rPr>
          <w:lang w:val="en-AU"/>
        </w:rPr>
        <w:t xml:space="preserve">. It should be </w:t>
      </w:r>
      <w:r w:rsidR="00FC261A" w:rsidRPr="006F4023">
        <w:rPr>
          <w:lang w:val="en-AU"/>
        </w:rPr>
        <w:t>recognis</w:t>
      </w:r>
      <w:r w:rsidRPr="006F4023">
        <w:rPr>
          <w:lang w:val="en-AU"/>
        </w:rPr>
        <w:t xml:space="preserve">ed </w:t>
      </w:r>
      <w:r w:rsidR="00FC261A" w:rsidRPr="006F4023">
        <w:rPr>
          <w:lang w:val="en-AU"/>
        </w:rPr>
        <w:t>that specific proposed developments may present complexities that are not considered in this Explanatory Note.</w:t>
      </w:r>
      <w:r w:rsidR="008A4478" w:rsidRPr="006F4023">
        <w:rPr>
          <w:lang w:val="en-AU"/>
        </w:rPr>
        <w:t xml:space="preserve"> </w:t>
      </w:r>
    </w:p>
    <w:p w14:paraId="502BCDD8" w14:textId="153BBBC4" w:rsidR="00F8231A" w:rsidRPr="006F4023" w:rsidRDefault="00FC261A" w:rsidP="002B4434">
      <w:pPr>
        <w:pStyle w:val="BodyText"/>
        <w:rPr>
          <w:lang w:val="en-AU"/>
        </w:rPr>
      </w:pPr>
      <w:r w:rsidRPr="006F4023">
        <w:rPr>
          <w:lang w:val="en-AU"/>
        </w:rPr>
        <w:t>In some cases, it may be possible for proponents to show that faults are not a risk factor for groundwater assets and GDEs. This could be done either by providing evidence that there are no faults or by</w:t>
      </w:r>
      <w:r w:rsidRPr="006F4023" w:rsidDel="00D629C1">
        <w:rPr>
          <w:lang w:val="en-AU"/>
        </w:rPr>
        <w:t xml:space="preserve"> </w:t>
      </w:r>
      <w:r w:rsidRPr="006F4023">
        <w:rPr>
          <w:lang w:val="en-AU"/>
        </w:rPr>
        <w:t>demonstrating that faulting does not compromise a regional aquitard with high integrity that isolates the asset from the coal seam or any planned excavations</w:t>
      </w:r>
      <w:r w:rsidR="00E079B5" w:rsidRPr="006F4023">
        <w:rPr>
          <w:lang w:val="en-AU"/>
        </w:rPr>
        <w:t xml:space="preserve"> or extractions</w:t>
      </w:r>
      <w:r w:rsidR="00A0225E" w:rsidRPr="006F4023">
        <w:rPr>
          <w:lang w:val="en-AU"/>
        </w:rPr>
        <w:t>, or by demonstrating that the risk of rapid flow in faults parallel to groundwater flow is negligible</w:t>
      </w:r>
      <w:r w:rsidRPr="006F4023">
        <w:rPr>
          <w:lang w:val="en-AU"/>
        </w:rPr>
        <w:t xml:space="preserve">. </w:t>
      </w:r>
    </w:p>
    <w:p w14:paraId="587ABD08" w14:textId="77777777" w:rsidR="000436B6" w:rsidRPr="006F4023" w:rsidRDefault="000436B6" w:rsidP="001D0BD3">
      <w:pPr>
        <w:pStyle w:val="06DOTPOINTS"/>
        <w:spacing w:line="240" w:lineRule="auto"/>
        <w:rPr>
          <w:rFonts w:ascii="Garamond" w:hAnsi="Garamond" w:cs="Calibri"/>
        </w:rPr>
      </w:pPr>
      <w:bookmarkStart w:id="353" w:name="_Toc42765107"/>
    </w:p>
    <w:p w14:paraId="781E6E18" w14:textId="77777777" w:rsidR="001D0BD3" w:rsidRPr="006F4023" w:rsidRDefault="001D0BD3" w:rsidP="001D0BD3">
      <w:pPr>
        <w:pStyle w:val="06DOTPOINTS"/>
        <w:spacing w:line="240" w:lineRule="auto"/>
      </w:pPr>
    </w:p>
    <w:p w14:paraId="4C4D8D29" w14:textId="189A7245" w:rsidR="001D0BD3" w:rsidRPr="006F4023" w:rsidRDefault="001D0BD3" w:rsidP="001D0BD3">
      <w:pPr>
        <w:pStyle w:val="06DOTPOINTS"/>
        <w:spacing w:line="240" w:lineRule="auto"/>
        <w:sectPr w:rsidR="001D0BD3" w:rsidRPr="006F4023" w:rsidSect="00C8365E">
          <w:pgSz w:w="11906" w:h="16838" w:code="9"/>
          <w:pgMar w:top="1701" w:right="1418" w:bottom="1418" w:left="1418" w:header="567" w:footer="567" w:gutter="0"/>
          <w:cols w:space="708"/>
          <w:docGrid w:linePitch="360"/>
        </w:sectPr>
      </w:pPr>
    </w:p>
    <w:p w14:paraId="562D3B41" w14:textId="77777777" w:rsidR="001D0BD3" w:rsidRPr="0038473D" w:rsidRDefault="001D0BD3" w:rsidP="001D0BD3">
      <w:pPr>
        <w:pStyle w:val="TABLEHEADING"/>
        <w:rPr>
          <w:lang w:val="en-AU"/>
        </w:rPr>
      </w:pPr>
      <w:r w:rsidRPr="006F4023">
        <w:rPr>
          <w:lang w:val="en-AU"/>
        </w:rPr>
        <w:lastRenderedPageBreak/>
        <w:t xml:space="preserve">Table 1: Case studies/scenarios that illustrate </w:t>
      </w:r>
      <w:r w:rsidRPr="0038473D">
        <w:rPr>
          <w:lang w:val="en-AU"/>
        </w:rPr>
        <w:t>differing situations and fault risk character.</w:t>
      </w:r>
    </w:p>
    <w:tbl>
      <w:tblPr>
        <w:tblStyle w:val="TableGrid"/>
        <w:tblW w:w="5000" w:type="pct"/>
        <w:tblLook w:val="04A0" w:firstRow="1" w:lastRow="0" w:firstColumn="1" w:lastColumn="0" w:noHBand="0" w:noVBand="1"/>
      </w:tblPr>
      <w:tblGrid>
        <w:gridCol w:w="1812"/>
        <w:gridCol w:w="2151"/>
        <w:gridCol w:w="2554"/>
        <w:gridCol w:w="5667"/>
        <w:gridCol w:w="10180"/>
      </w:tblGrid>
      <w:tr w:rsidR="00EC6144" w:rsidRPr="006F4023" w14:paraId="506DBFED" w14:textId="77777777" w:rsidTr="00553DDC">
        <w:trPr>
          <w:trHeight w:val="558"/>
        </w:trPr>
        <w:tc>
          <w:tcPr>
            <w:tcW w:w="405" w:type="pct"/>
            <w:tcBorders>
              <w:bottom w:val="single" w:sz="4" w:space="0" w:color="auto"/>
            </w:tcBorders>
            <w:shd w:val="clear" w:color="auto" w:fill="2F5496" w:themeFill="accent1" w:themeFillShade="BF"/>
          </w:tcPr>
          <w:p w14:paraId="39F9599E" w14:textId="77777777" w:rsidR="00EC6144" w:rsidRPr="006F4023" w:rsidRDefault="00EC6144" w:rsidP="00553DDC">
            <w:pPr>
              <w:pStyle w:val="TableHeaderRow"/>
              <w:rPr>
                <w:b w:val="0"/>
                <w:lang w:val="en-AU"/>
              </w:rPr>
            </w:pPr>
            <w:r w:rsidRPr="006F4023">
              <w:rPr>
                <w:b w:val="0"/>
                <w:lang w:val="en-AU"/>
              </w:rPr>
              <w:t xml:space="preserve">Case Studies </w:t>
            </w:r>
          </w:p>
        </w:tc>
        <w:tc>
          <w:tcPr>
            <w:tcW w:w="481" w:type="pct"/>
            <w:shd w:val="clear" w:color="auto" w:fill="2F5496" w:themeFill="accent1" w:themeFillShade="BF"/>
          </w:tcPr>
          <w:p w14:paraId="2DEFDD23" w14:textId="77777777" w:rsidR="00EC6144" w:rsidRPr="006F4023" w:rsidRDefault="00EC6144" w:rsidP="00553DDC">
            <w:pPr>
              <w:pStyle w:val="TableHeaderRow"/>
              <w:rPr>
                <w:b w:val="0"/>
                <w:lang w:val="en-AU"/>
              </w:rPr>
            </w:pPr>
            <w:r w:rsidRPr="006F4023">
              <w:rPr>
                <w:b w:val="0"/>
                <w:lang w:val="en-AU"/>
              </w:rPr>
              <w:t>Diagnostic for Scenario</w:t>
            </w:r>
          </w:p>
        </w:tc>
        <w:tc>
          <w:tcPr>
            <w:tcW w:w="571" w:type="pct"/>
            <w:shd w:val="clear" w:color="auto" w:fill="2F5496" w:themeFill="accent1" w:themeFillShade="BF"/>
          </w:tcPr>
          <w:p w14:paraId="66036047" w14:textId="77777777" w:rsidR="00EC6144" w:rsidRPr="006F4023" w:rsidRDefault="00EC6144" w:rsidP="00553DDC">
            <w:pPr>
              <w:pStyle w:val="TableHeaderRow"/>
              <w:rPr>
                <w:b w:val="0"/>
                <w:lang w:val="en-AU"/>
              </w:rPr>
            </w:pPr>
            <w:r w:rsidRPr="006F4023">
              <w:rPr>
                <w:b w:val="0"/>
                <w:lang w:val="en-AU"/>
              </w:rPr>
              <w:t>Fault Flow Groundwater Phenomena</w:t>
            </w:r>
          </w:p>
        </w:tc>
        <w:tc>
          <w:tcPr>
            <w:tcW w:w="1267" w:type="pct"/>
            <w:shd w:val="clear" w:color="auto" w:fill="2F5496" w:themeFill="accent1" w:themeFillShade="BF"/>
          </w:tcPr>
          <w:p w14:paraId="2A917875" w14:textId="77777777" w:rsidR="00EC6144" w:rsidRPr="006F4023" w:rsidRDefault="00EC6144" w:rsidP="00553DDC">
            <w:pPr>
              <w:pStyle w:val="TableHeaderRow"/>
              <w:rPr>
                <w:b w:val="0"/>
                <w:lang w:val="en-AU"/>
              </w:rPr>
            </w:pPr>
            <w:r w:rsidRPr="006F4023">
              <w:rPr>
                <w:b w:val="0"/>
                <w:lang w:val="en-AU"/>
              </w:rPr>
              <w:t>Site Based Evidence and Geological Products to Justify the Choice of this Scenario</w:t>
            </w:r>
          </w:p>
        </w:tc>
        <w:tc>
          <w:tcPr>
            <w:tcW w:w="2276" w:type="pct"/>
            <w:shd w:val="clear" w:color="auto" w:fill="2F5496" w:themeFill="accent1" w:themeFillShade="BF"/>
          </w:tcPr>
          <w:p w14:paraId="29C6F33A" w14:textId="77777777" w:rsidR="00EC6144" w:rsidRPr="006F4023" w:rsidRDefault="00EC6144" w:rsidP="00553DDC">
            <w:pPr>
              <w:pStyle w:val="TableHeaderRow"/>
              <w:rPr>
                <w:b w:val="0"/>
                <w:lang w:val="en-AU"/>
              </w:rPr>
            </w:pPr>
            <w:r w:rsidRPr="006F4023">
              <w:rPr>
                <w:b w:val="0"/>
                <w:lang w:val="en-AU"/>
              </w:rPr>
              <w:t>Suggested Approaches for Characterisation of Uncertainty for Risk</w:t>
            </w:r>
          </w:p>
        </w:tc>
      </w:tr>
      <w:tr w:rsidR="00EC6144" w:rsidRPr="006F4023" w14:paraId="4D59E33D" w14:textId="77777777" w:rsidTr="00553DDC">
        <w:trPr>
          <w:trHeight w:val="888"/>
        </w:trPr>
        <w:tc>
          <w:tcPr>
            <w:tcW w:w="405" w:type="pct"/>
          </w:tcPr>
          <w:p w14:paraId="1D68C85B" w14:textId="0C920000" w:rsidR="00EC6144" w:rsidRPr="006F4023" w:rsidRDefault="00EC6144" w:rsidP="00553DDC">
            <w:pPr>
              <w:pStyle w:val="TableText"/>
              <w:rPr>
                <w:b/>
                <w:bCs/>
                <w:lang w:val="en-AU"/>
              </w:rPr>
            </w:pPr>
            <w:r w:rsidRPr="006F4023">
              <w:rPr>
                <w:b/>
                <w:bCs/>
                <w:lang w:val="en-AU"/>
              </w:rPr>
              <w:t xml:space="preserve">Scenario </w:t>
            </w:r>
            <w:r w:rsidR="00010C71" w:rsidRPr="006F4023">
              <w:rPr>
                <w:b/>
                <w:bCs/>
                <w:lang w:val="en-AU"/>
              </w:rPr>
              <w:t>A-1</w:t>
            </w:r>
            <w:r w:rsidRPr="006F4023">
              <w:rPr>
                <w:b/>
                <w:bCs/>
                <w:lang w:val="en-AU"/>
              </w:rPr>
              <w:t xml:space="preserve"> - Faults are unlikely to affect groundwater flow</w:t>
            </w:r>
          </w:p>
          <w:p w14:paraId="57DB1C0E" w14:textId="77777777" w:rsidR="00EC6144" w:rsidRPr="006F4023" w:rsidRDefault="00EC6144" w:rsidP="00553DDC">
            <w:pPr>
              <w:pStyle w:val="TableText"/>
              <w:rPr>
                <w:lang w:val="en-AU"/>
              </w:rPr>
            </w:pPr>
          </w:p>
        </w:tc>
        <w:tc>
          <w:tcPr>
            <w:tcW w:w="481" w:type="pct"/>
          </w:tcPr>
          <w:p w14:paraId="0BD02C7E" w14:textId="77777777" w:rsidR="00EC6144" w:rsidRPr="006F4023" w:rsidRDefault="00EC6144" w:rsidP="00553DDC">
            <w:pPr>
              <w:pStyle w:val="TableText"/>
              <w:rPr>
                <w:lang w:val="en-AU"/>
              </w:rPr>
            </w:pPr>
            <w:r w:rsidRPr="006F4023">
              <w:rPr>
                <w:b/>
                <w:lang w:val="en-AU"/>
              </w:rPr>
              <w:t>There are no faults.</w:t>
            </w:r>
          </w:p>
        </w:tc>
        <w:tc>
          <w:tcPr>
            <w:tcW w:w="571" w:type="pct"/>
          </w:tcPr>
          <w:p w14:paraId="4C47845C" w14:textId="77777777" w:rsidR="00EC6144" w:rsidRPr="006F4023" w:rsidRDefault="00EC6144" w:rsidP="00553DDC">
            <w:pPr>
              <w:pStyle w:val="TableText"/>
              <w:numPr>
                <w:ilvl w:val="0"/>
                <w:numId w:val="7"/>
              </w:numPr>
              <w:rPr>
                <w:lang w:val="en-AU"/>
              </w:rPr>
            </w:pPr>
            <w:r w:rsidRPr="006F4023">
              <w:rPr>
                <w:lang w:val="en-AU"/>
              </w:rPr>
              <w:t xml:space="preserve">No faults and/or few faults with negligible displacement. </w:t>
            </w:r>
          </w:p>
        </w:tc>
        <w:tc>
          <w:tcPr>
            <w:tcW w:w="1267" w:type="pct"/>
          </w:tcPr>
          <w:p w14:paraId="6EADAC2A" w14:textId="77777777" w:rsidR="00EC6144" w:rsidRPr="006F4023" w:rsidRDefault="00EC6144" w:rsidP="00553DDC">
            <w:pPr>
              <w:pStyle w:val="TableText"/>
              <w:numPr>
                <w:ilvl w:val="0"/>
                <w:numId w:val="7"/>
              </w:numPr>
              <w:rPr>
                <w:lang w:val="en-AU"/>
              </w:rPr>
            </w:pPr>
            <w:r w:rsidRPr="006F4023">
              <w:rPr>
                <w:lang w:val="en-AU"/>
              </w:rPr>
              <w:t>Documentation of flat lying or essentially undeformed stratigraphy.</w:t>
            </w:r>
          </w:p>
          <w:p w14:paraId="17B2B2EF" w14:textId="6EE02231" w:rsidR="00EC6144" w:rsidRPr="006F4023" w:rsidRDefault="00EC6144" w:rsidP="00553DDC">
            <w:pPr>
              <w:pStyle w:val="TableText"/>
              <w:numPr>
                <w:ilvl w:val="0"/>
                <w:numId w:val="7"/>
              </w:numPr>
              <w:rPr>
                <w:lang w:val="en-AU"/>
              </w:rPr>
            </w:pPr>
            <w:r w:rsidRPr="006F4023">
              <w:rPr>
                <w:lang w:val="en-AU"/>
              </w:rPr>
              <w:t>Present a regional geological model, as a series of cross sections parallel and perpendicular to strike, that illustrate the relative lack of faults in the region.</w:t>
            </w:r>
          </w:p>
        </w:tc>
        <w:tc>
          <w:tcPr>
            <w:tcW w:w="2276" w:type="pct"/>
          </w:tcPr>
          <w:p w14:paraId="3D872F0D" w14:textId="77777777" w:rsidR="00EC6144" w:rsidRPr="006F4023" w:rsidRDefault="00EC6144" w:rsidP="00553DDC">
            <w:pPr>
              <w:pStyle w:val="TableText"/>
              <w:numPr>
                <w:ilvl w:val="0"/>
                <w:numId w:val="7"/>
              </w:numPr>
              <w:ind w:right="692"/>
              <w:rPr>
                <w:b/>
                <w:bCs/>
                <w:lang w:val="en-AU"/>
              </w:rPr>
            </w:pPr>
            <w:r w:rsidRPr="006F4023">
              <w:rPr>
                <w:lang w:val="en-AU"/>
              </w:rPr>
              <w:t xml:space="preserve">Assess the likelihood that faults exist that have not been observed. </w:t>
            </w:r>
          </w:p>
          <w:p w14:paraId="0624D05B" w14:textId="77777777" w:rsidR="00EC6144" w:rsidRPr="006F4023" w:rsidRDefault="00EC6144" w:rsidP="00553DDC">
            <w:pPr>
              <w:pStyle w:val="TableText"/>
              <w:numPr>
                <w:ilvl w:val="0"/>
                <w:numId w:val="7"/>
              </w:numPr>
              <w:rPr>
                <w:b/>
                <w:bCs/>
                <w:lang w:val="en-AU"/>
              </w:rPr>
            </w:pPr>
            <w:r w:rsidRPr="006F4023">
              <w:rPr>
                <w:lang w:val="en-AU"/>
              </w:rPr>
              <w:t>If needed, use one of the following scenarios to characterise the probability of critical repercussions of an unobserved fault on predicted flow impacts.</w:t>
            </w:r>
          </w:p>
        </w:tc>
      </w:tr>
      <w:tr w:rsidR="00EC6144" w:rsidRPr="006F4023" w14:paraId="773E806E" w14:textId="77777777" w:rsidTr="00553DDC">
        <w:trPr>
          <w:trHeight w:val="3004"/>
        </w:trPr>
        <w:tc>
          <w:tcPr>
            <w:tcW w:w="405" w:type="pct"/>
          </w:tcPr>
          <w:p w14:paraId="0C6F6D23" w14:textId="5816B99E" w:rsidR="00EC6144" w:rsidRPr="006F4023" w:rsidRDefault="00EC6144" w:rsidP="00553DDC">
            <w:pPr>
              <w:pStyle w:val="TableText"/>
              <w:rPr>
                <w:b/>
                <w:bCs/>
                <w:lang w:val="en-AU"/>
              </w:rPr>
            </w:pPr>
            <w:r w:rsidRPr="006F4023">
              <w:rPr>
                <w:b/>
                <w:bCs/>
                <w:lang w:val="en-AU"/>
              </w:rPr>
              <w:t xml:space="preserve">Scenario </w:t>
            </w:r>
            <w:r w:rsidR="00010C71" w:rsidRPr="006F4023">
              <w:rPr>
                <w:b/>
                <w:bCs/>
                <w:lang w:val="en-AU"/>
              </w:rPr>
              <w:t>A-2</w:t>
            </w:r>
            <w:r w:rsidRPr="006F4023">
              <w:rPr>
                <w:b/>
                <w:bCs/>
                <w:lang w:val="en-AU"/>
              </w:rPr>
              <w:t xml:space="preserve"> - Faults are unlikely to affect groundwater flow due to aquitard</w:t>
            </w:r>
          </w:p>
          <w:p w14:paraId="29BA8041" w14:textId="278CAAA9" w:rsidR="00EC6144" w:rsidRPr="006F4023" w:rsidRDefault="00EC6144" w:rsidP="00553DDC">
            <w:pPr>
              <w:pStyle w:val="TableText"/>
              <w:rPr>
                <w:lang w:val="en-AU"/>
              </w:rPr>
            </w:pPr>
          </w:p>
        </w:tc>
        <w:tc>
          <w:tcPr>
            <w:tcW w:w="481" w:type="pct"/>
          </w:tcPr>
          <w:p w14:paraId="72D6FB5A" w14:textId="77777777" w:rsidR="00EC6144" w:rsidRPr="006F4023" w:rsidRDefault="00EC6144" w:rsidP="00553DDC">
            <w:pPr>
              <w:pStyle w:val="TableText"/>
              <w:rPr>
                <w:b/>
                <w:bCs/>
                <w:lang w:val="en-AU"/>
              </w:rPr>
            </w:pPr>
            <w:r w:rsidRPr="006F4023">
              <w:rPr>
                <w:b/>
                <w:bCs/>
                <w:lang w:val="en-AU"/>
              </w:rPr>
              <w:t>There is a regional aquitard separating the groundwater asset or aquifer from the coal seam or excavation, and this aquitard is not breached by faults. No primary juxtaposition of flow units across the faults is present.</w:t>
            </w:r>
          </w:p>
        </w:tc>
        <w:tc>
          <w:tcPr>
            <w:tcW w:w="571" w:type="pct"/>
          </w:tcPr>
          <w:p w14:paraId="3C759F4F" w14:textId="77777777" w:rsidR="00EC6144" w:rsidRPr="006F4023" w:rsidRDefault="00EC6144" w:rsidP="00553DDC">
            <w:pPr>
              <w:pStyle w:val="TableText"/>
              <w:numPr>
                <w:ilvl w:val="0"/>
                <w:numId w:val="7"/>
              </w:numPr>
              <w:rPr>
                <w:lang w:val="en-AU"/>
              </w:rPr>
            </w:pPr>
            <w:r w:rsidRPr="006F4023">
              <w:rPr>
                <w:lang w:val="en-AU"/>
              </w:rPr>
              <w:t>An aquitard separates the groundwater asset from the coal seam or excavation.</w:t>
            </w:r>
          </w:p>
          <w:p w14:paraId="076D7E08" w14:textId="77777777" w:rsidR="00EC6144" w:rsidRPr="006F4023" w:rsidRDefault="00EC6144" w:rsidP="00553DDC">
            <w:pPr>
              <w:pStyle w:val="TableText"/>
              <w:numPr>
                <w:ilvl w:val="0"/>
                <w:numId w:val="7"/>
              </w:numPr>
              <w:rPr>
                <w:lang w:val="en-AU"/>
              </w:rPr>
            </w:pPr>
            <w:r w:rsidRPr="006F4023">
              <w:rPr>
                <w:lang w:val="en-AU"/>
              </w:rPr>
              <w:t>Vertical fault offset (throw) is smaller than the thickness of aquitards.</w:t>
            </w:r>
          </w:p>
          <w:p w14:paraId="0E88B4B4" w14:textId="77777777" w:rsidR="00EC6144" w:rsidRPr="006F4023" w:rsidRDefault="00EC6144" w:rsidP="00553DDC">
            <w:pPr>
              <w:pStyle w:val="TableText"/>
              <w:numPr>
                <w:ilvl w:val="0"/>
                <w:numId w:val="7"/>
              </w:numPr>
              <w:rPr>
                <w:lang w:val="en-AU"/>
              </w:rPr>
            </w:pPr>
            <w:r w:rsidRPr="006F4023">
              <w:rPr>
                <w:lang w:val="en-AU"/>
              </w:rPr>
              <w:t xml:space="preserve">Faults are therefore unlikely to form vertical </w:t>
            </w:r>
            <w:r w:rsidRPr="006F4023">
              <w:rPr>
                <w:i/>
                <w:iCs/>
                <w:lang w:val="en-AU"/>
              </w:rPr>
              <w:t>Causal-Pathways</w:t>
            </w:r>
            <w:r w:rsidRPr="006F4023">
              <w:rPr>
                <w:lang w:val="en-AU"/>
              </w:rPr>
              <w:t xml:space="preserve">. </w:t>
            </w:r>
          </w:p>
        </w:tc>
        <w:tc>
          <w:tcPr>
            <w:tcW w:w="1267" w:type="pct"/>
          </w:tcPr>
          <w:p w14:paraId="2D890EEB" w14:textId="77777777" w:rsidR="00EC6144" w:rsidRPr="006F4023" w:rsidRDefault="00EC6144" w:rsidP="00553DDC">
            <w:pPr>
              <w:pStyle w:val="TableText"/>
              <w:numPr>
                <w:ilvl w:val="0"/>
                <w:numId w:val="9"/>
              </w:numPr>
              <w:rPr>
                <w:lang w:val="en-AU"/>
              </w:rPr>
            </w:pPr>
            <w:r w:rsidRPr="006F4023">
              <w:rPr>
                <w:lang w:val="en-AU"/>
              </w:rPr>
              <w:t>Provide geological and hydrogeological evidence for a regionally extensive valid aquitard.</w:t>
            </w:r>
          </w:p>
          <w:p w14:paraId="7E0E29AE" w14:textId="09112923" w:rsidR="00EC6144" w:rsidRPr="006F4023" w:rsidRDefault="00EC6144" w:rsidP="00553DDC">
            <w:pPr>
              <w:pStyle w:val="TableText"/>
              <w:numPr>
                <w:ilvl w:val="0"/>
                <w:numId w:val="9"/>
              </w:numPr>
              <w:rPr>
                <w:lang w:val="en-AU"/>
              </w:rPr>
            </w:pPr>
            <w:r w:rsidRPr="006F4023">
              <w:rPr>
                <w:lang w:val="en-AU"/>
              </w:rPr>
              <w:t xml:space="preserve">A set of regional cross sections showing faulting that is geometrically and kinematically consistent. </w:t>
            </w:r>
          </w:p>
          <w:p w14:paraId="0061F007" w14:textId="77777777" w:rsidR="00EC6144" w:rsidRPr="006F4023" w:rsidRDefault="00EC6144" w:rsidP="00553DDC">
            <w:pPr>
              <w:pStyle w:val="TableText"/>
              <w:numPr>
                <w:ilvl w:val="0"/>
                <w:numId w:val="9"/>
              </w:numPr>
              <w:rPr>
                <w:lang w:val="en-AU"/>
              </w:rPr>
            </w:pPr>
            <w:r w:rsidRPr="006F4023">
              <w:rPr>
                <w:lang w:val="en-AU"/>
              </w:rPr>
              <w:t xml:space="preserve">A comprehensive description of the aquitard, including, if possible, a description of the depositional environment. </w:t>
            </w:r>
          </w:p>
          <w:p w14:paraId="4841DABD" w14:textId="77777777" w:rsidR="00EC6144" w:rsidRPr="006F4023" w:rsidRDefault="00EC6144" w:rsidP="00553DDC">
            <w:pPr>
              <w:pStyle w:val="TableText"/>
              <w:numPr>
                <w:ilvl w:val="0"/>
                <w:numId w:val="9"/>
              </w:numPr>
              <w:rPr>
                <w:lang w:val="en-AU"/>
              </w:rPr>
            </w:pPr>
            <w:r w:rsidRPr="006F4023">
              <w:rPr>
                <w:lang w:val="en-AU"/>
              </w:rPr>
              <w:t>Fault statistics including length and throw ratios/distributions.</w:t>
            </w:r>
          </w:p>
          <w:p w14:paraId="21716638" w14:textId="77777777" w:rsidR="00EC6144" w:rsidRPr="006F4023" w:rsidRDefault="00EC6144" w:rsidP="00553DDC">
            <w:pPr>
              <w:pStyle w:val="TableText"/>
              <w:numPr>
                <w:ilvl w:val="0"/>
                <w:numId w:val="9"/>
              </w:numPr>
              <w:rPr>
                <w:lang w:val="en-AU"/>
              </w:rPr>
            </w:pPr>
            <w:r w:rsidRPr="006F4023">
              <w:rPr>
                <w:lang w:val="en-AU"/>
              </w:rPr>
              <w:t>Systematic analysis of fault displacement profiles.</w:t>
            </w:r>
          </w:p>
          <w:p w14:paraId="166B473E" w14:textId="77777777" w:rsidR="00EC6144" w:rsidRPr="006F4023" w:rsidRDefault="00EC6144" w:rsidP="00553DDC">
            <w:pPr>
              <w:pStyle w:val="TableText"/>
              <w:numPr>
                <w:ilvl w:val="0"/>
                <w:numId w:val="9"/>
              </w:numPr>
              <w:rPr>
                <w:lang w:val="en-AU"/>
              </w:rPr>
            </w:pPr>
            <w:r w:rsidRPr="006F4023">
              <w:rPr>
                <w:lang w:val="en-AU"/>
              </w:rPr>
              <w:t>Structure contour maps for the top and base of the aquitard.</w:t>
            </w:r>
          </w:p>
          <w:p w14:paraId="2C98C148" w14:textId="77777777" w:rsidR="00EC6144" w:rsidRPr="006F4023" w:rsidRDefault="00EC6144" w:rsidP="00553DDC">
            <w:pPr>
              <w:pStyle w:val="TableText"/>
              <w:numPr>
                <w:ilvl w:val="0"/>
                <w:numId w:val="9"/>
              </w:numPr>
              <w:rPr>
                <w:lang w:val="en-AU"/>
              </w:rPr>
            </w:pPr>
            <w:r w:rsidRPr="006F4023">
              <w:rPr>
                <w:lang w:val="en-AU"/>
              </w:rPr>
              <w:t xml:space="preserve">Isopach map of all regional aquitards. </w:t>
            </w:r>
          </w:p>
        </w:tc>
        <w:tc>
          <w:tcPr>
            <w:tcW w:w="2276" w:type="pct"/>
          </w:tcPr>
          <w:p w14:paraId="3EDAC323" w14:textId="5F84633E" w:rsidR="00EC6144" w:rsidRPr="006F4023" w:rsidRDefault="00EC6144" w:rsidP="00553DDC">
            <w:pPr>
              <w:pStyle w:val="TableText"/>
              <w:numPr>
                <w:ilvl w:val="0"/>
                <w:numId w:val="9"/>
              </w:numPr>
              <w:rPr>
                <w:lang w:val="en-AU"/>
              </w:rPr>
            </w:pPr>
            <w:r w:rsidRPr="006F4023">
              <w:rPr>
                <w:lang w:val="en-AU"/>
              </w:rPr>
              <w:t xml:space="preserve">Risk assessment of potential aquitard breach through analysis of the likely range of fault offset relative to aquitard thickness. A range of 1D, 2D and 3D techniques can be used to assess the probability that the aquitard has, or has not, been breached. </w:t>
            </w:r>
          </w:p>
          <w:p w14:paraId="697CE3DD" w14:textId="7ADBD662" w:rsidR="00EC6144" w:rsidRPr="006F4023" w:rsidRDefault="00EC6144" w:rsidP="00553DDC">
            <w:pPr>
              <w:pStyle w:val="TableText"/>
              <w:numPr>
                <w:ilvl w:val="0"/>
                <w:numId w:val="9"/>
              </w:numPr>
              <w:rPr>
                <w:lang w:val="en-AU"/>
              </w:rPr>
            </w:pPr>
            <w:r w:rsidRPr="006F4023">
              <w:rPr>
                <w:lang w:val="en-AU"/>
              </w:rPr>
              <w:t>Should a significant probability of this be shown then an uncertainty analysis based on Scenario-C would be required.</w:t>
            </w:r>
          </w:p>
        </w:tc>
      </w:tr>
      <w:tr w:rsidR="00EC6144" w:rsidRPr="006F4023" w14:paraId="7A726B73" w14:textId="77777777" w:rsidTr="00553DDC">
        <w:trPr>
          <w:trHeight w:val="3104"/>
        </w:trPr>
        <w:tc>
          <w:tcPr>
            <w:tcW w:w="405" w:type="pct"/>
            <w:tcBorders>
              <w:bottom w:val="single" w:sz="4" w:space="0" w:color="auto"/>
            </w:tcBorders>
          </w:tcPr>
          <w:p w14:paraId="33D1F26C" w14:textId="77777777" w:rsidR="00EC6144" w:rsidRPr="006F4023" w:rsidRDefault="00EC6144" w:rsidP="00553DDC">
            <w:pPr>
              <w:pStyle w:val="TableText"/>
              <w:rPr>
                <w:b/>
                <w:bCs/>
                <w:lang w:val="en-AU"/>
              </w:rPr>
            </w:pPr>
            <w:r w:rsidRPr="006F4023">
              <w:rPr>
                <w:b/>
                <w:bCs/>
                <w:lang w:val="en-AU"/>
              </w:rPr>
              <w:t xml:space="preserve">Scenario B - Faults are potentially important within aquifers </w:t>
            </w:r>
          </w:p>
          <w:p w14:paraId="184DF9D2" w14:textId="74E033A3" w:rsidR="00EC6144" w:rsidRPr="006F4023" w:rsidRDefault="00EC6144" w:rsidP="00553DDC">
            <w:pPr>
              <w:pStyle w:val="TableText"/>
              <w:rPr>
                <w:b/>
                <w:bCs/>
                <w:lang w:val="en-AU"/>
              </w:rPr>
            </w:pPr>
          </w:p>
        </w:tc>
        <w:tc>
          <w:tcPr>
            <w:tcW w:w="481" w:type="pct"/>
          </w:tcPr>
          <w:p w14:paraId="0275A5F0" w14:textId="77777777" w:rsidR="00EC6144" w:rsidRPr="006F4023" w:rsidRDefault="00EC6144" w:rsidP="00553DDC">
            <w:pPr>
              <w:pStyle w:val="TableText"/>
              <w:rPr>
                <w:b/>
                <w:lang w:val="en-AU"/>
              </w:rPr>
            </w:pPr>
            <w:r w:rsidRPr="006F4023">
              <w:rPr>
                <w:b/>
                <w:lang w:val="en-AU"/>
              </w:rPr>
              <w:t xml:space="preserve">There are no regional aquitards in the development region that segregate </w:t>
            </w:r>
            <w:r w:rsidRPr="006F4023">
              <w:rPr>
                <w:b/>
                <w:bCs/>
                <w:lang w:val="en-AU"/>
              </w:rPr>
              <w:t>the groundwater asset or aquifer</w:t>
            </w:r>
            <w:r w:rsidRPr="006F4023">
              <w:rPr>
                <w:b/>
                <w:lang w:val="en-AU"/>
              </w:rPr>
              <w:t xml:space="preserve"> from the </w:t>
            </w:r>
            <w:r w:rsidRPr="006F4023">
              <w:rPr>
                <w:b/>
                <w:bCs/>
                <w:lang w:val="en-AU"/>
              </w:rPr>
              <w:t>coal seam or excavation</w:t>
            </w:r>
            <w:r w:rsidRPr="006F4023">
              <w:rPr>
                <w:b/>
                <w:lang w:val="en-AU"/>
              </w:rPr>
              <w:t>.</w:t>
            </w:r>
          </w:p>
        </w:tc>
        <w:tc>
          <w:tcPr>
            <w:tcW w:w="571" w:type="pct"/>
          </w:tcPr>
          <w:p w14:paraId="766BA7F3" w14:textId="77777777" w:rsidR="00EC6144" w:rsidRPr="006F4023" w:rsidRDefault="00EC6144" w:rsidP="00553DDC">
            <w:pPr>
              <w:pStyle w:val="TableText"/>
              <w:numPr>
                <w:ilvl w:val="0"/>
                <w:numId w:val="8"/>
              </w:numPr>
              <w:rPr>
                <w:b/>
                <w:bCs/>
                <w:i/>
                <w:iCs/>
                <w:lang w:val="en-AU"/>
              </w:rPr>
            </w:pPr>
            <w:r w:rsidRPr="006F4023">
              <w:rPr>
                <w:lang w:val="en-AU"/>
              </w:rPr>
              <w:t>Flow parallel to faults may be enhanced in fault damage zones that contain fractures.</w:t>
            </w:r>
          </w:p>
          <w:p w14:paraId="1B17053A" w14:textId="77777777" w:rsidR="00EC6144" w:rsidRPr="006F4023" w:rsidRDefault="00EC6144" w:rsidP="00553DDC">
            <w:pPr>
              <w:pStyle w:val="TableText"/>
              <w:numPr>
                <w:ilvl w:val="0"/>
                <w:numId w:val="8"/>
              </w:numPr>
              <w:rPr>
                <w:bCs/>
                <w:iCs/>
                <w:lang w:val="en-AU"/>
              </w:rPr>
            </w:pPr>
            <w:r w:rsidRPr="006F4023">
              <w:rPr>
                <w:bCs/>
                <w:iCs/>
                <w:lang w:val="en-AU"/>
              </w:rPr>
              <w:t>Drawdown impacts may be greater or lesser in the presence of a fault barrier, depending on the relative placement of the development compared to the fault.</w:t>
            </w:r>
          </w:p>
        </w:tc>
        <w:tc>
          <w:tcPr>
            <w:tcW w:w="1267" w:type="pct"/>
          </w:tcPr>
          <w:p w14:paraId="5D30347F" w14:textId="77777777" w:rsidR="00EC6144" w:rsidRPr="006F4023" w:rsidRDefault="00EC6144" w:rsidP="00553DDC">
            <w:pPr>
              <w:pStyle w:val="TableText"/>
              <w:numPr>
                <w:ilvl w:val="0"/>
                <w:numId w:val="8"/>
              </w:numPr>
              <w:rPr>
                <w:lang w:val="en-AU"/>
              </w:rPr>
            </w:pPr>
            <w:r w:rsidRPr="006F4023">
              <w:rPr>
                <w:lang w:val="en-AU"/>
              </w:rPr>
              <w:t>Site based hydrogeological characterisation of damage zones with multiple lines of evidence.</w:t>
            </w:r>
          </w:p>
          <w:p w14:paraId="1D5ACF58" w14:textId="77777777" w:rsidR="00EC6144" w:rsidRPr="006F4023" w:rsidRDefault="00EC6144" w:rsidP="00553DDC">
            <w:pPr>
              <w:pStyle w:val="TableText"/>
              <w:numPr>
                <w:ilvl w:val="0"/>
                <w:numId w:val="8"/>
              </w:numPr>
              <w:rPr>
                <w:lang w:val="en-AU"/>
              </w:rPr>
            </w:pPr>
            <w:r w:rsidRPr="006F4023">
              <w:rPr>
                <w:lang w:val="en-AU"/>
              </w:rPr>
              <w:t>Displacement analysis assessing lateral continuity of faults.</w:t>
            </w:r>
          </w:p>
          <w:p w14:paraId="3FD12954" w14:textId="77777777" w:rsidR="00EC6144" w:rsidRPr="006F4023" w:rsidRDefault="00EC6144" w:rsidP="00553DDC">
            <w:pPr>
              <w:pStyle w:val="TableText"/>
              <w:numPr>
                <w:ilvl w:val="0"/>
                <w:numId w:val="8"/>
              </w:numPr>
              <w:rPr>
                <w:lang w:val="en-AU"/>
              </w:rPr>
            </w:pPr>
            <w:r w:rsidRPr="006F4023">
              <w:rPr>
                <w:lang w:val="en-AU"/>
              </w:rPr>
              <w:t>Analysis of the significant uncertainties that arise from the character of the fault damage zone(s), including the thickness and continuity of the damage zones, fracture density and effective fracture transmissivity.</w:t>
            </w:r>
          </w:p>
          <w:p w14:paraId="562B447F" w14:textId="77777777" w:rsidR="00EC6144" w:rsidRPr="006F4023" w:rsidRDefault="00EC6144" w:rsidP="00553DDC">
            <w:pPr>
              <w:pStyle w:val="TableText"/>
              <w:numPr>
                <w:ilvl w:val="0"/>
                <w:numId w:val="8"/>
              </w:numPr>
              <w:rPr>
                <w:lang w:val="en-AU"/>
              </w:rPr>
            </w:pPr>
            <w:r w:rsidRPr="006F4023">
              <w:rPr>
                <w:lang w:val="en-AU"/>
              </w:rPr>
              <w:t>Analog studies of similar faults in outcrop, documenting damage zone architecture, fracturing and any fault rocks.</w:t>
            </w:r>
          </w:p>
          <w:p w14:paraId="54EF92D4" w14:textId="77777777" w:rsidR="00EC6144" w:rsidRPr="006F4023" w:rsidRDefault="00EC6144" w:rsidP="00553DDC">
            <w:pPr>
              <w:pStyle w:val="TableText"/>
              <w:numPr>
                <w:ilvl w:val="0"/>
                <w:numId w:val="8"/>
              </w:numPr>
              <w:rPr>
                <w:lang w:val="en-AU"/>
              </w:rPr>
            </w:pPr>
            <w:r w:rsidRPr="006F4023">
              <w:rPr>
                <w:lang w:val="en-AU"/>
              </w:rPr>
              <w:t>Characterise the mechanical stratigraphy of the aquifers and thus their propensity to fracture.</w:t>
            </w:r>
          </w:p>
        </w:tc>
        <w:tc>
          <w:tcPr>
            <w:tcW w:w="2276" w:type="pct"/>
          </w:tcPr>
          <w:p w14:paraId="05E0AEED" w14:textId="77777777" w:rsidR="00EC6144" w:rsidRPr="006F4023" w:rsidRDefault="00EC6144" w:rsidP="00553DDC">
            <w:pPr>
              <w:pStyle w:val="TableText"/>
              <w:numPr>
                <w:ilvl w:val="0"/>
                <w:numId w:val="9"/>
              </w:numPr>
              <w:rPr>
                <w:lang w:val="en-AU"/>
              </w:rPr>
            </w:pPr>
            <w:r w:rsidRPr="006F4023">
              <w:rPr>
                <w:lang w:val="en-AU"/>
              </w:rPr>
              <w:t>Stochastic modelling may be used to model the probability that an identified fault or an unidentified fault intersects an asset.</w:t>
            </w:r>
          </w:p>
          <w:p w14:paraId="17A380C2" w14:textId="4A30ADDB" w:rsidR="00EC6144" w:rsidRPr="006F4023" w:rsidRDefault="00EC6144" w:rsidP="00553DDC">
            <w:pPr>
              <w:pStyle w:val="TableText"/>
              <w:numPr>
                <w:ilvl w:val="0"/>
                <w:numId w:val="9"/>
              </w:numPr>
              <w:rPr>
                <w:lang w:val="en-AU"/>
              </w:rPr>
            </w:pPr>
            <w:r w:rsidRPr="006F4023">
              <w:rPr>
                <w:lang w:val="en-AU"/>
              </w:rPr>
              <w:t>In the case of a fault intersecting an asset, a stochastic modelling approach that represents the potential repercussions of the fault on the groundwater flow system, potentially based on Cubic Law assumptions, can be used to derive distributions of the conservative estimates of flow from a source depressurisation effect, as an initial check on the potential significance of the fault(s) on an impact assessment</w:t>
            </w:r>
          </w:p>
          <w:p w14:paraId="768F50F7" w14:textId="488A77F6" w:rsidR="00EC6144" w:rsidRPr="006F4023" w:rsidRDefault="00EC6144" w:rsidP="00553DDC">
            <w:pPr>
              <w:pStyle w:val="TableText"/>
              <w:numPr>
                <w:ilvl w:val="0"/>
                <w:numId w:val="9"/>
              </w:numPr>
              <w:rPr>
                <w:lang w:val="en-AU"/>
              </w:rPr>
            </w:pPr>
            <w:r w:rsidRPr="006F4023">
              <w:rPr>
                <w:lang w:val="en-AU"/>
              </w:rPr>
              <w:t>Ideally this approach would be validated through monitoring of a long-term pumping testing in the vicinity of key groundwater assets.</w:t>
            </w:r>
          </w:p>
          <w:p w14:paraId="7322004C" w14:textId="77777777" w:rsidR="00EC6144" w:rsidRPr="006F4023" w:rsidRDefault="00EC6144" w:rsidP="00553DDC">
            <w:pPr>
              <w:pStyle w:val="TableText"/>
              <w:numPr>
                <w:ilvl w:val="0"/>
                <w:numId w:val="9"/>
              </w:numPr>
              <w:rPr>
                <w:lang w:val="en-AU"/>
              </w:rPr>
            </w:pPr>
            <w:r w:rsidRPr="006F4023">
              <w:rPr>
                <w:lang w:val="en-AU"/>
              </w:rPr>
              <w:t xml:space="preserve">If faults are identified as being material to the impact assessment, ensure any numerical groundwater modelling accounts for the repercussions of the fault presence, using information from the above assessments along with other hydrologic information. Stochastic or worse case numerical modelling approaches would be required to allow uncertainty of impacts to be considered in the risk assessment. </w:t>
            </w:r>
          </w:p>
        </w:tc>
      </w:tr>
      <w:tr w:rsidR="00EC6144" w:rsidRPr="006F4023" w14:paraId="108AEB85" w14:textId="77777777" w:rsidTr="00553DDC">
        <w:trPr>
          <w:trHeight w:val="2939"/>
        </w:trPr>
        <w:tc>
          <w:tcPr>
            <w:tcW w:w="405" w:type="pct"/>
          </w:tcPr>
          <w:p w14:paraId="1291271F" w14:textId="0328E433" w:rsidR="00EC6144" w:rsidRPr="006F4023" w:rsidRDefault="00EC6144" w:rsidP="00553DDC">
            <w:pPr>
              <w:pStyle w:val="TableText"/>
              <w:rPr>
                <w:b/>
                <w:bCs/>
                <w:lang w:val="en-AU"/>
              </w:rPr>
            </w:pPr>
            <w:r w:rsidRPr="006F4023">
              <w:rPr>
                <w:b/>
                <w:bCs/>
                <w:lang w:val="en-AU"/>
              </w:rPr>
              <w:t>Scenario C - Faults are important within aquifer-aquitard systems</w:t>
            </w:r>
          </w:p>
          <w:p w14:paraId="65968BFA" w14:textId="52C7251C" w:rsidR="00EC6144" w:rsidRPr="006F4023" w:rsidRDefault="00EC6144" w:rsidP="00553DDC">
            <w:pPr>
              <w:pStyle w:val="TableText"/>
              <w:rPr>
                <w:b/>
                <w:bCs/>
                <w:lang w:val="en-AU"/>
              </w:rPr>
            </w:pPr>
          </w:p>
        </w:tc>
        <w:tc>
          <w:tcPr>
            <w:tcW w:w="481" w:type="pct"/>
          </w:tcPr>
          <w:p w14:paraId="5B84ED1B" w14:textId="3CE77FF0" w:rsidR="00EC6144" w:rsidRPr="006F4023" w:rsidRDefault="00EC6144" w:rsidP="00553DDC">
            <w:pPr>
              <w:pStyle w:val="TableText"/>
              <w:rPr>
                <w:b/>
                <w:bCs/>
                <w:lang w:val="en-AU"/>
              </w:rPr>
            </w:pPr>
            <w:r w:rsidRPr="006F4023">
              <w:rPr>
                <w:b/>
                <w:bCs/>
                <w:lang w:val="en-AU"/>
              </w:rPr>
              <w:t>Faulting displaces regional aquitards, thus connecting the asset or aquifer to the coal seam by generating primary juxtaposition.</w:t>
            </w:r>
          </w:p>
        </w:tc>
        <w:tc>
          <w:tcPr>
            <w:tcW w:w="571" w:type="pct"/>
          </w:tcPr>
          <w:p w14:paraId="1589053F" w14:textId="77777777" w:rsidR="00EC6144" w:rsidRPr="006F4023" w:rsidRDefault="00EC6144" w:rsidP="00553DDC">
            <w:pPr>
              <w:pStyle w:val="TableText"/>
              <w:numPr>
                <w:ilvl w:val="0"/>
                <w:numId w:val="8"/>
              </w:numPr>
              <w:rPr>
                <w:lang w:val="en-AU"/>
              </w:rPr>
            </w:pPr>
            <w:r w:rsidRPr="006F4023">
              <w:rPr>
                <w:lang w:val="en-AU"/>
              </w:rPr>
              <w:t>Flow may occur across faults between aquifers through juxtaposition windows.</w:t>
            </w:r>
          </w:p>
          <w:p w14:paraId="449AEC99" w14:textId="77777777" w:rsidR="00EC6144" w:rsidRPr="006F4023" w:rsidRDefault="00EC6144" w:rsidP="00553DDC">
            <w:pPr>
              <w:pStyle w:val="TableText"/>
              <w:numPr>
                <w:ilvl w:val="0"/>
                <w:numId w:val="8"/>
              </w:numPr>
              <w:rPr>
                <w:lang w:val="en-AU"/>
              </w:rPr>
            </w:pPr>
            <w:r w:rsidRPr="006F4023">
              <w:rPr>
                <w:lang w:val="en-AU"/>
              </w:rPr>
              <w:t>Depressurisation at the coal seam or excavation may drawdown shallower aquifers that would otherwise be separated by aquitards.</w:t>
            </w:r>
          </w:p>
          <w:p w14:paraId="06737198" w14:textId="77777777" w:rsidR="00EC6144" w:rsidRPr="006F4023" w:rsidRDefault="00EC6144" w:rsidP="00553DDC">
            <w:pPr>
              <w:pStyle w:val="TableText"/>
              <w:numPr>
                <w:ilvl w:val="0"/>
                <w:numId w:val="8"/>
              </w:numPr>
              <w:rPr>
                <w:lang w:val="en-AU"/>
              </w:rPr>
            </w:pPr>
            <w:r w:rsidRPr="006F4023">
              <w:rPr>
                <w:lang w:val="en-AU"/>
              </w:rPr>
              <w:t>Aquifers may be fully juxtaposed with aquitards to form primary juxtaposition/no flow barriers.</w:t>
            </w:r>
          </w:p>
        </w:tc>
        <w:tc>
          <w:tcPr>
            <w:tcW w:w="1267" w:type="pct"/>
          </w:tcPr>
          <w:p w14:paraId="15D976B0" w14:textId="77777777" w:rsidR="00EC6144" w:rsidRPr="006F4023" w:rsidRDefault="00EC6144" w:rsidP="00553DDC">
            <w:pPr>
              <w:pStyle w:val="TableText"/>
              <w:numPr>
                <w:ilvl w:val="0"/>
                <w:numId w:val="10"/>
              </w:numPr>
              <w:rPr>
                <w:lang w:val="en-AU"/>
              </w:rPr>
            </w:pPr>
            <w:r w:rsidRPr="006F4023">
              <w:rPr>
                <w:lang w:val="en-AU"/>
              </w:rPr>
              <w:t xml:space="preserve">A set of regional cross sections showing geologically consistent faulting kinematics, </w:t>
            </w:r>
            <w:proofErr w:type="gramStart"/>
            <w:r w:rsidRPr="006F4023">
              <w:rPr>
                <w:lang w:val="en-AU"/>
              </w:rPr>
              <w:t>architecture</w:t>
            </w:r>
            <w:proofErr w:type="gramEnd"/>
            <w:r w:rsidRPr="006F4023">
              <w:rPr>
                <w:lang w:val="en-AU"/>
              </w:rPr>
              <w:t xml:space="preserve"> and the deposition environment of the aquitard. </w:t>
            </w:r>
          </w:p>
          <w:p w14:paraId="52AB06B1" w14:textId="77777777" w:rsidR="00EC6144" w:rsidRPr="006F4023" w:rsidRDefault="00EC6144" w:rsidP="00553DDC">
            <w:pPr>
              <w:pStyle w:val="TableText"/>
              <w:numPr>
                <w:ilvl w:val="0"/>
                <w:numId w:val="10"/>
              </w:numPr>
              <w:rPr>
                <w:lang w:val="en-AU"/>
              </w:rPr>
            </w:pPr>
            <w:r w:rsidRPr="006F4023">
              <w:rPr>
                <w:lang w:val="en-AU"/>
              </w:rPr>
              <w:t>Depth structure contour maps for the top and base of aquitards.</w:t>
            </w:r>
          </w:p>
          <w:p w14:paraId="062C9C74" w14:textId="77777777" w:rsidR="00EC6144" w:rsidRPr="006F4023" w:rsidRDefault="00EC6144" w:rsidP="00553DDC">
            <w:pPr>
              <w:pStyle w:val="TableText"/>
              <w:numPr>
                <w:ilvl w:val="0"/>
                <w:numId w:val="10"/>
              </w:numPr>
              <w:rPr>
                <w:lang w:val="en-AU"/>
              </w:rPr>
            </w:pPr>
            <w:r w:rsidRPr="006F4023">
              <w:rPr>
                <w:lang w:val="en-AU"/>
              </w:rPr>
              <w:t>Isopach map for the aquifers and aquitards.</w:t>
            </w:r>
          </w:p>
          <w:p w14:paraId="787AD40C" w14:textId="5EBC74B2" w:rsidR="00EC6144" w:rsidRPr="006F4023" w:rsidRDefault="00EC6144" w:rsidP="00553DDC">
            <w:pPr>
              <w:pStyle w:val="TableText"/>
              <w:numPr>
                <w:ilvl w:val="0"/>
                <w:numId w:val="10"/>
              </w:numPr>
              <w:rPr>
                <w:lang w:val="en-AU"/>
              </w:rPr>
            </w:pPr>
            <w:r w:rsidRPr="006F4023">
              <w:rPr>
                <w:lang w:val="en-AU"/>
              </w:rPr>
              <w:t xml:space="preserve">As with scenario </w:t>
            </w:r>
            <w:r w:rsidR="00010C71" w:rsidRPr="006F4023">
              <w:rPr>
                <w:lang w:val="en-AU"/>
              </w:rPr>
              <w:t>A-2</w:t>
            </w:r>
            <w:r w:rsidRPr="006F4023">
              <w:rPr>
                <w:lang w:val="en-AU"/>
              </w:rPr>
              <w:t>, all aquitards need to be described and assessed. Quantitative juxtaposition analysis of aquifers, seams and aquitards across faults should document the locations of juxtapositions and then estimate the areas of these juxtapositions.</w:t>
            </w:r>
          </w:p>
          <w:p w14:paraId="1B25BC42" w14:textId="2D68F3CB" w:rsidR="00EC6144" w:rsidRPr="006F4023" w:rsidRDefault="00EC6144" w:rsidP="00CE4237">
            <w:pPr>
              <w:pStyle w:val="TableText"/>
              <w:numPr>
                <w:ilvl w:val="0"/>
                <w:numId w:val="10"/>
              </w:numPr>
              <w:rPr>
                <w:lang w:val="en-AU"/>
              </w:rPr>
            </w:pPr>
            <w:r w:rsidRPr="006F4023">
              <w:rPr>
                <w:lang w:val="en-AU"/>
              </w:rPr>
              <w:t>For the case of “no-flow” fault barriers juxtaposition analysis and extensive site-specific pump</w:t>
            </w:r>
            <w:r w:rsidR="00CE4237">
              <w:rPr>
                <w:lang w:val="en-AU"/>
              </w:rPr>
              <w:t>ing</w:t>
            </w:r>
            <w:r w:rsidRPr="006F4023">
              <w:rPr>
                <w:lang w:val="en-AU"/>
              </w:rPr>
              <w:t xml:space="preserve"> test</w:t>
            </w:r>
            <w:r w:rsidR="00CE4237">
              <w:rPr>
                <w:lang w:val="en-AU"/>
              </w:rPr>
              <w:t>s</w:t>
            </w:r>
            <w:r w:rsidRPr="006F4023">
              <w:rPr>
                <w:lang w:val="en-AU"/>
              </w:rPr>
              <w:t xml:space="preserve"> from both sides of the fault and along strike of the fault. Studies using environmental water tracers (for example helium and radon) may be useful. </w:t>
            </w:r>
          </w:p>
        </w:tc>
        <w:tc>
          <w:tcPr>
            <w:tcW w:w="2276" w:type="pct"/>
          </w:tcPr>
          <w:p w14:paraId="11B3F909" w14:textId="37A22B8E" w:rsidR="00EC6144" w:rsidRPr="006F4023" w:rsidRDefault="00EC6144" w:rsidP="00553DDC">
            <w:pPr>
              <w:pStyle w:val="TableText"/>
              <w:numPr>
                <w:ilvl w:val="0"/>
                <w:numId w:val="9"/>
              </w:numPr>
              <w:rPr>
                <w:lang w:val="en-AU"/>
              </w:rPr>
            </w:pPr>
            <w:r w:rsidRPr="006F4023">
              <w:rPr>
                <w:lang w:val="en-AU"/>
              </w:rPr>
              <w:t xml:space="preserve">Fault juxtaposition occurrence and area are the key uncertainties in this scenario. The construction of Allan Maps for key faults is </w:t>
            </w:r>
            <w:proofErr w:type="gramStart"/>
            <w:r w:rsidRPr="006F4023">
              <w:rPr>
                <w:lang w:val="en-AU"/>
              </w:rPr>
              <w:t>encouraged, or</w:t>
            </w:r>
            <w:proofErr w:type="gramEnd"/>
            <w:r w:rsidRPr="006F4023">
              <w:rPr>
                <w:lang w:val="en-AU"/>
              </w:rPr>
              <w:t xml:space="preserve"> generating a significant series of cross sections orthogonal to each fault.</w:t>
            </w:r>
          </w:p>
          <w:p w14:paraId="40658591" w14:textId="77777777" w:rsidR="00EC6144" w:rsidRPr="006F4023" w:rsidRDefault="00EC6144" w:rsidP="00553DDC">
            <w:pPr>
              <w:pStyle w:val="TableText"/>
              <w:numPr>
                <w:ilvl w:val="0"/>
                <w:numId w:val="9"/>
              </w:numPr>
              <w:rPr>
                <w:lang w:val="en-AU"/>
              </w:rPr>
            </w:pPr>
            <w:r w:rsidRPr="006F4023">
              <w:rPr>
                <w:lang w:val="en-AU"/>
              </w:rPr>
              <w:t>Stochastic fault analysis can be used to assess the probability of juxtaposition.</w:t>
            </w:r>
          </w:p>
          <w:p w14:paraId="11C1E777" w14:textId="77777777" w:rsidR="00EC6144" w:rsidRPr="006F4023" w:rsidRDefault="00EC6144" w:rsidP="00553DDC">
            <w:pPr>
              <w:pStyle w:val="TableText"/>
              <w:numPr>
                <w:ilvl w:val="0"/>
                <w:numId w:val="9"/>
              </w:numPr>
              <w:rPr>
                <w:lang w:val="en-AU"/>
              </w:rPr>
            </w:pPr>
            <w:r w:rsidRPr="006F4023">
              <w:rPr>
                <w:lang w:val="en-AU"/>
              </w:rPr>
              <w:t>Distribution of aquifer juxtaposition areas and thus distributions of likely cross fault flow.</w:t>
            </w:r>
          </w:p>
          <w:p w14:paraId="56D98743" w14:textId="4E472325" w:rsidR="00EC6144" w:rsidRPr="006F4023" w:rsidRDefault="00EC6144" w:rsidP="00553DDC">
            <w:pPr>
              <w:pStyle w:val="TableText"/>
              <w:numPr>
                <w:ilvl w:val="0"/>
                <w:numId w:val="9"/>
              </w:numPr>
              <w:rPr>
                <w:lang w:val="en-AU"/>
              </w:rPr>
            </w:pPr>
            <w:r w:rsidRPr="006F4023">
              <w:rPr>
                <w:lang w:val="en-AU"/>
              </w:rPr>
              <w:t xml:space="preserve">Probabilistic analysis of across fault flow should then be used to define fault transmissibility in groundwater flow models. </w:t>
            </w:r>
          </w:p>
          <w:p w14:paraId="7226F6AB" w14:textId="77777777" w:rsidR="00EC6144" w:rsidRPr="006F4023" w:rsidRDefault="00EC6144" w:rsidP="00553DDC">
            <w:pPr>
              <w:pStyle w:val="TableText"/>
              <w:numPr>
                <w:ilvl w:val="0"/>
                <w:numId w:val="9"/>
              </w:numPr>
              <w:rPr>
                <w:lang w:val="en-AU"/>
              </w:rPr>
            </w:pPr>
            <w:r w:rsidRPr="006F4023">
              <w:rPr>
                <w:lang w:val="en-AU"/>
              </w:rPr>
              <w:t xml:space="preserve">Whilst the existence of a cross fault seal (membrane seal) provided by a fine-grained fault core material is possible, extensive evidence of the likely efficiency and character of any membrane seals should be presented. </w:t>
            </w:r>
          </w:p>
          <w:p w14:paraId="5BD1FC73" w14:textId="70D12331" w:rsidR="00EC6144" w:rsidRPr="006F4023" w:rsidRDefault="00EC6144" w:rsidP="00553DDC">
            <w:pPr>
              <w:pStyle w:val="TableText"/>
              <w:numPr>
                <w:ilvl w:val="0"/>
                <w:numId w:val="9"/>
              </w:numPr>
              <w:rPr>
                <w:lang w:val="en-AU"/>
              </w:rPr>
            </w:pPr>
            <w:r w:rsidRPr="006F4023">
              <w:rPr>
                <w:lang w:val="en-AU"/>
              </w:rPr>
              <w:t>Pump</w:t>
            </w:r>
            <w:r w:rsidR="00CE4237">
              <w:rPr>
                <w:lang w:val="en-AU"/>
              </w:rPr>
              <w:t>ing</w:t>
            </w:r>
            <w:r w:rsidRPr="006F4023">
              <w:rPr>
                <w:lang w:val="en-AU"/>
              </w:rPr>
              <w:t xml:space="preserve"> tests and/or environmental tracer tests to support the </w:t>
            </w:r>
            <w:r w:rsidR="003F1824" w:rsidRPr="006F4023">
              <w:rPr>
                <w:lang w:val="en-AU"/>
              </w:rPr>
              <w:t>conceptualisation</w:t>
            </w:r>
            <w:r w:rsidRPr="006F4023">
              <w:rPr>
                <w:lang w:val="en-AU"/>
              </w:rPr>
              <w:t xml:space="preserve"> and provide an analogue of possible drawdown changes caused by the development.</w:t>
            </w:r>
          </w:p>
          <w:p w14:paraId="21CEAB36" w14:textId="77777777" w:rsidR="00EC6144" w:rsidRPr="006F4023" w:rsidRDefault="00EC6144" w:rsidP="00553DDC">
            <w:pPr>
              <w:pStyle w:val="TableText"/>
              <w:numPr>
                <w:ilvl w:val="0"/>
                <w:numId w:val="9"/>
              </w:numPr>
              <w:rPr>
                <w:lang w:val="en-AU"/>
              </w:rPr>
            </w:pPr>
            <w:r w:rsidRPr="006F4023">
              <w:rPr>
                <w:lang w:val="en-AU"/>
              </w:rPr>
              <w:t>If faults are identified as being material to the impact assessment, ensure any numerical groundwater modelling accounts for the repercussions of the fault presence, using information from the above assessments along with other hydrologic information. Stochastic or worse case numerical modelling approaches would be required to allow uncertainty of impacts to be considered in the risk assessment.</w:t>
            </w:r>
          </w:p>
        </w:tc>
      </w:tr>
      <w:tr w:rsidR="00EC6144" w:rsidRPr="006F4023" w14:paraId="33CD3603" w14:textId="77777777" w:rsidTr="00553DDC">
        <w:trPr>
          <w:trHeight w:val="2775"/>
        </w:trPr>
        <w:tc>
          <w:tcPr>
            <w:tcW w:w="405" w:type="pct"/>
          </w:tcPr>
          <w:p w14:paraId="3C7A09EF" w14:textId="77777777" w:rsidR="00EC6144" w:rsidRPr="006F4023" w:rsidRDefault="00EC6144" w:rsidP="00553DDC">
            <w:pPr>
              <w:pStyle w:val="TableText"/>
              <w:spacing w:line="259" w:lineRule="auto"/>
              <w:rPr>
                <w:b/>
                <w:bCs/>
                <w:lang w:val="en-AU"/>
              </w:rPr>
            </w:pPr>
            <w:r w:rsidRPr="006F4023">
              <w:rPr>
                <w:b/>
                <w:bCs/>
                <w:lang w:val="en-AU"/>
              </w:rPr>
              <w:lastRenderedPageBreak/>
              <w:t>Scenario D - Differential subsidence leading to increased flow along existing or new fractures</w:t>
            </w:r>
          </w:p>
          <w:p w14:paraId="30DBEDA4" w14:textId="77777777" w:rsidR="00EC6144" w:rsidRPr="006F4023" w:rsidRDefault="00EC6144" w:rsidP="00553DDC">
            <w:pPr>
              <w:pStyle w:val="TableText"/>
              <w:spacing w:line="259" w:lineRule="auto"/>
              <w:rPr>
                <w:b/>
                <w:bCs/>
                <w:lang w:val="en-AU"/>
              </w:rPr>
            </w:pPr>
          </w:p>
        </w:tc>
        <w:tc>
          <w:tcPr>
            <w:tcW w:w="481" w:type="pct"/>
          </w:tcPr>
          <w:p w14:paraId="003881ED" w14:textId="033E98C1" w:rsidR="00EC6144" w:rsidRPr="009C1439" w:rsidRDefault="00EC6144">
            <w:pPr>
              <w:pStyle w:val="TableText"/>
              <w:rPr>
                <w:b/>
                <w:bCs/>
                <w:lang w:val="en-AU"/>
              </w:rPr>
            </w:pPr>
            <w:r w:rsidRPr="006F4023">
              <w:rPr>
                <w:b/>
                <w:bCs/>
                <w:lang w:val="en-AU"/>
              </w:rPr>
              <w:t>Differe</w:t>
            </w:r>
            <w:r w:rsidRPr="009C1439">
              <w:rPr>
                <w:b/>
                <w:bCs/>
                <w:lang w:val="en-AU"/>
              </w:rPr>
              <w:t xml:space="preserve">ntial </w:t>
            </w:r>
            <w:r w:rsidR="00A150BB" w:rsidRPr="009C1439">
              <w:rPr>
                <w:b/>
                <w:bCs/>
                <w:lang w:val="en-AU"/>
              </w:rPr>
              <w:t xml:space="preserve">movement </w:t>
            </w:r>
            <w:r w:rsidRPr="009C1439">
              <w:rPr>
                <w:b/>
                <w:bCs/>
                <w:lang w:val="en-AU"/>
              </w:rPr>
              <w:t xml:space="preserve">reactivates faults and fractures or </w:t>
            </w:r>
            <w:r w:rsidR="00A150BB" w:rsidRPr="009C1439">
              <w:rPr>
                <w:b/>
                <w:bCs/>
                <w:lang w:val="en-AU"/>
              </w:rPr>
              <w:t xml:space="preserve">develops </w:t>
            </w:r>
            <w:r w:rsidRPr="009C1439">
              <w:rPr>
                <w:b/>
                <w:bCs/>
                <w:lang w:val="en-AU"/>
              </w:rPr>
              <w:t xml:space="preserve">new </w:t>
            </w:r>
            <w:r w:rsidR="00A150BB" w:rsidRPr="009C1439">
              <w:rPr>
                <w:b/>
                <w:bCs/>
                <w:lang w:val="en-AU"/>
              </w:rPr>
              <w:t>pathways</w:t>
            </w:r>
            <w:r w:rsidRPr="009C1439">
              <w:rPr>
                <w:b/>
                <w:bCs/>
                <w:lang w:val="en-AU"/>
              </w:rPr>
              <w:t xml:space="preserve"> in previously </w:t>
            </w:r>
            <w:proofErr w:type="spellStart"/>
            <w:r w:rsidRPr="009C1439">
              <w:rPr>
                <w:b/>
                <w:bCs/>
                <w:lang w:val="en-AU"/>
              </w:rPr>
              <w:t>unfaulted</w:t>
            </w:r>
            <w:proofErr w:type="spellEnd"/>
            <w:r w:rsidRPr="009C1439">
              <w:rPr>
                <w:b/>
                <w:bCs/>
                <w:lang w:val="en-AU"/>
              </w:rPr>
              <w:t xml:space="preserve"> or unfractured </w:t>
            </w:r>
            <w:r w:rsidR="00A150BB" w:rsidRPr="009C1439">
              <w:rPr>
                <w:b/>
                <w:bCs/>
                <w:lang w:val="en-AU"/>
              </w:rPr>
              <w:t>strata</w:t>
            </w:r>
            <w:r w:rsidRPr="009C1439">
              <w:rPr>
                <w:b/>
                <w:bCs/>
                <w:lang w:val="en-AU"/>
              </w:rPr>
              <w:t>. This scenario is most likely to apply to underground mines but could also occur in open cut mining</w:t>
            </w:r>
            <w:r w:rsidR="00A150BB" w:rsidRPr="009C1439">
              <w:rPr>
                <w:b/>
                <w:bCs/>
                <w:lang w:val="en-AU"/>
              </w:rPr>
              <w:t xml:space="preserve"> and CSG</w:t>
            </w:r>
            <w:r w:rsidRPr="009C1439">
              <w:rPr>
                <w:b/>
                <w:bCs/>
                <w:lang w:val="en-AU"/>
              </w:rPr>
              <w:t>.</w:t>
            </w:r>
          </w:p>
        </w:tc>
        <w:tc>
          <w:tcPr>
            <w:tcW w:w="571" w:type="pct"/>
          </w:tcPr>
          <w:p w14:paraId="12DD104E" w14:textId="77777777" w:rsidR="00EC6144" w:rsidRPr="009C1439" w:rsidRDefault="00EC6144" w:rsidP="00553DDC">
            <w:pPr>
              <w:pStyle w:val="TableText"/>
              <w:numPr>
                <w:ilvl w:val="0"/>
                <w:numId w:val="8"/>
              </w:numPr>
              <w:rPr>
                <w:lang w:val="en-AU"/>
              </w:rPr>
            </w:pPr>
            <w:r w:rsidRPr="009C1439">
              <w:rPr>
                <w:lang w:val="en-AU"/>
              </w:rPr>
              <w:t xml:space="preserve">Rapid drainage of surface aquifers through fracture or fault networks caused by project development. </w:t>
            </w:r>
          </w:p>
        </w:tc>
        <w:tc>
          <w:tcPr>
            <w:tcW w:w="1267" w:type="pct"/>
          </w:tcPr>
          <w:p w14:paraId="45C74472" w14:textId="77777777" w:rsidR="00EC6144" w:rsidRPr="009C1439" w:rsidRDefault="00EC6144" w:rsidP="00553DDC">
            <w:pPr>
              <w:pStyle w:val="TableText"/>
              <w:numPr>
                <w:ilvl w:val="0"/>
                <w:numId w:val="8"/>
              </w:numPr>
              <w:rPr>
                <w:lang w:val="en-AU"/>
              </w:rPr>
            </w:pPr>
            <w:r w:rsidRPr="009C1439">
              <w:rPr>
                <w:lang w:val="en-AU"/>
              </w:rPr>
              <w:t>Required for mines with significant differential subsidence.</w:t>
            </w:r>
          </w:p>
          <w:p w14:paraId="0899B5E5" w14:textId="77777777" w:rsidR="00EC6144" w:rsidRPr="009C1439" w:rsidRDefault="00EC6144" w:rsidP="00553DDC">
            <w:pPr>
              <w:pStyle w:val="TableText"/>
              <w:numPr>
                <w:ilvl w:val="0"/>
                <w:numId w:val="8"/>
              </w:numPr>
              <w:rPr>
                <w:lang w:val="en-AU"/>
              </w:rPr>
            </w:pPr>
            <w:r w:rsidRPr="009C1439">
              <w:rPr>
                <w:lang w:val="en-AU"/>
              </w:rPr>
              <w:t>The geometry of near surface faults and their associated damage zones are the first order features to be characterised.</w:t>
            </w:r>
          </w:p>
          <w:p w14:paraId="0BE3CE23" w14:textId="77777777" w:rsidR="00EC6144" w:rsidRPr="009C1439" w:rsidRDefault="00EC6144" w:rsidP="00553DDC">
            <w:pPr>
              <w:pStyle w:val="TableText"/>
              <w:numPr>
                <w:ilvl w:val="0"/>
                <w:numId w:val="8"/>
              </w:numPr>
              <w:rPr>
                <w:lang w:val="en-AU"/>
              </w:rPr>
            </w:pPr>
            <w:r w:rsidRPr="009C1439">
              <w:rPr>
                <w:lang w:val="en-AU"/>
              </w:rPr>
              <w:t>Surface and base aquitard structure contour maps illustrating the faults and their displacement need to be provided.</w:t>
            </w:r>
          </w:p>
          <w:p w14:paraId="3D67D42E" w14:textId="77777777" w:rsidR="00EC6144" w:rsidRPr="009C1439" w:rsidRDefault="00EC6144" w:rsidP="00553DDC">
            <w:pPr>
              <w:pStyle w:val="TableText"/>
              <w:numPr>
                <w:ilvl w:val="0"/>
                <w:numId w:val="8"/>
              </w:numPr>
              <w:rPr>
                <w:lang w:val="en-AU"/>
              </w:rPr>
            </w:pPr>
            <w:r w:rsidRPr="009C1439">
              <w:rPr>
                <w:lang w:val="en-AU"/>
              </w:rPr>
              <w:t xml:space="preserve">Analysis of </w:t>
            </w:r>
            <w:r w:rsidRPr="009C1439">
              <w:rPr>
                <w:i/>
                <w:iCs/>
                <w:lang w:val="en-AU"/>
              </w:rPr>
              <w:t>in situ</w:t>
            </w:r>
            <w:r w:rsidRPr="009C1439">
              <w:rPr>
                <w:lang w:val="en-AU"/>
              </w:rPr>
              <w:t xml:space="preserve"> stress, and the effect that excavation may have on stress and the change in stress required for fault reactivation. </w:t>
            </w:r>
          </w:p>
          <w:p w14:paraId="5343BCC8" w14:textId="3BD1CF21" w:rsidR="00EC6144" w:rsidRPr="009C1439" w:rsidRDefault="00EC6144" w:rsidP="00553DDC">
            <w:pPr>
              <w:pStyle w:val="TableText"/>
              <w:numPr>
                <w:ilvl w:val="0"/>
                <w:numId w:val="8"/>
              </w:numPr>
              <w:rPr>
                <w:lang w:val="en-AU"/>
              </w:rPr>
            </w:pPr>
            <w:r w:rsidRPr="009C1439">
              <w:rPr>
                <w:lang w:val="en-AU"/>
              </w:rPr>
              <w:t xml:space="preserve">Water isotopes / tracers for </w:t>
            </w:r>
            <w:r w:rsidR="003F1824" w:rsidRPr="009C1439">
              <w:rPr>
                <w:lang w:val="en-AU"/>
              </w:rPr>
              <w:t>conceptualisation</w:t>
            </w:r>
            <w:r w:rsidRPr="009C1439">
              <w:rPr>
                <w:lang w:val="en-AU"/>
              </w:rPr>
              <w:t xml:space="preserve"> of flow pathways. </w:t>
            </w:r>
          </w:p>
          <w:p w14:paraId="68AE16DA" w14:textId="77777777" w:rsidR="00EC6144" w:rsidRPr="009C1439" w:rsidRDefault="00EC6144" w:rsidP="00553DDC">
            <w:pPr>
              <w:pStyle w:val="TableText"/>
              <w:numPr>
                <w:ilvl w:val="0"/>
                <w:numId w:val="8"/>
              </w:numPr>
              <w:rPr>
                <w:lang w:val="en-AU"/>
              </w:rPr>
            </w:pPr>
            <w:r w:rsidRPr="009C1439">
              <w:rPr>
                <w:lang w:val="en-AU"/>
              </w:rPr>
              <w:t>Geologically valid cross sections that illustrate the linkage from the seam level to the surface.</w:t>
            </w:r>
          </w:p>
        </w:tc>
        <w:tc>
          <w:tcPr>
            <w:tcW w:w="2276" w:type="pct"/>
          </w:tcPr>
          <w:p w14:paraId="417D19B9" w14:textId="77777777" w:rsidR="00A150BB" w:rsidRPr="006F4023" w:rsidRDefault="00A150BB" w:rsidP="00A150BB">
            <w:pPr>
              <w:pStyle w:val="TableText"/>
              <w:numPr>
                <w:ilvl w:val="0"/>
                <w:numId w:val="8"/>
              </w:numPr>
              <w:rPr>
                <w:lang w:val="en-AU"/>
              </w:rPr>
            </w:pPr>
            <w:r w:rsidRPr="006F4023">
              <w:rPr>
                <w:lang w:val="en-AU"/>
              </w:rPr>
              <w:t>Baseline studies of hydrogeological properties of faults are required to characterise their influence on hydrogeological systems.</w:t>
            </w:r>
          </w:p>
          <w:p w14:paraId="79AF8CFF" w14:textId="2C218D52" w:rsidR="00EC6144" w:rsidRPr="006F4023" w:rsidRDefault="00EC6144" w:rsidP="00A150BB">
            <w:pPr>
              <w:pStyle w:val="TableText"/>
              <w:numPr>
                <w:ilvl w:val="0"/>
                <w:numId w:val="8"/>
              </w:numPr>
              <w:rPr>
                <w:lang w:val="en-AU"/>
              </w:rPr>
            </w:pPr>
            <w:r w:rsidRPr="006F4023">
              <w:rPr>
                <w:lang w:val="en-AU"/>
              </w:rPr>
              <w:t xml:space="preserve">Stochastic modelling may be used to model the probability that an identified fault or a </w:t>
            </w:r>
            <w:r w:rsidR="00A150BB" w:rsidRPr="006F4023">
              <w:rPr>
                <w:lang w:val="en-AU"/>
              </w:rPr>
              <w:t xml:space="preserve">suspected </w:t>
            </w:r>
            <w:r w:rsidRPr="006F4023">
              <w:rPr>
                <w:lang w:val="en-AU"/>
              </w:rPr>
              <w:t xml:space="preserve">fault </w:t>
            </w:r>
            <w:r w:rsidR="00A150BB" w:rsidRPr="006F4023">
              <w:rPr>
                <w:lang w:val="en-AU"/>
              </w:rPr>
              <w:t xml:space="preserve">provides a pathway that intersects </w:t>
            </w:r>
            <w:r w:rsidRPr="006F4023">
              <w:rPr>
                <w:lang w:val="en-AU"/>
              </w:rPr>
              <w:t>an asset.</w:t>
            </w:r>
          </w:p>
          <w:p w14:paraId="5EC110BD" w14:textId="77777777" w:rsidR="00EC6144" w:rsidRPr="006F4023" w:rsidRDefault="00EC6144" w:rsidP="00553DDC">
            <w:pPr>
              <w:pStyle w:val="TableText"/>
              <w:numPr>
                <w:ilvl w:val="0"/>
                <w:numId w:val="8"/>
              </w:numPr>
              <w:rPr>
                <w:lang w:val="en-AU"/>
              </w:rPr>
            </w:pPr>
            <w:r w:rsidRPr="006F4023">
              <w:rPr>
                <w:lang w:val="en-AU"/>
              </w:rPr>
              <w:t>In the case of a fault intersecting an asset, a stochastic modelling approach that includes discrete fracture flow can be used to derive distributions of the conservative estimates of flow from a source depressurisation effect.</w:t>
            </w:r>
          </w:p>
          <w:p w14:paraId="2FAC177A" w14:textId="718A471E" w:rsidR="00EC6144" w:rsidRPr="006F4023" w:rsidRDefault="003C6226" w:rsidP="00553DDC">
            <w:pPr>
              <w:pStyle w:val="TableText"/>
              <w:numPr>
                <w:ilvl w:val="0"/>
                <w:numId w:val="8"/>
              </w:numPr>
              <w:rPr>
                <w:lang w:val="en-AU"/>
              </w:rPr>
            </w:pPr>
            <w:r>
              <w:rPr>
                <w:lang w:val="en-AU"/>
              </w:rPr>
              <w:t xml:space="preserve">Field evidence is </w:t>
            </w:r>
            <w:r w:rsidRPr="006F4023">
              <w:rPr>
                <w:lang w:val="en-AU"/>
              </w:rPr>
              <w:t xml:space="preserve">required to support the </w:t>
            </w:r>
            <w:r>
              <w:rPr>
                <w:lang w:val="en-AU"/>
              </w:rPr>
              <w:t>conceptualisation, such as e</w:t>
            </w:r>
            <w:r w:rsidR="00A150BB" w:rsidRPr="006F4023">
              <w:rPr>
                <w:lang w:val="en-AU"/>
              </w:rPr>
              <w:t>nvironmental monitoring, tracer and</w:t>
            </w:r>
            <w:r>
              <w:rPr>
                <w:lang w:val="en-AU"/>
              </w:rPr>
              <w:t>/or</w:t>
            </w:r>
            <w:r w:rsidR="00A150BB" w:rsidRPr="006F4023">
              <w:rPr>
                <w:lang w:val="en-AU"/>
              </w:rPr>
              <w:t xml:space="preserve"> pump</w:t>
            </w:r>
            <w:r>
              <w:rPr>
                <w:lang w:val="en-AU"/>
              </w:rPr>
              <w:t>ing</w:t>
            </w:r>
            <w:r w:rsidR="00A150BB" w:rsidRPr="006F4023">
              <w:rPr>
                <w:lang w:val="en-AU"/>
              </w:rPr>
              <w:t xml:space="preserve"> </w:t>
            </w:r>
            <w:r>
              <w:rPr>
                <w:lang w:val="en-AU"/>
              </w:rPr>
              <w:t>tests.</w:t>
            </w:r>
          </w:p>
          <w:p w14:paraId="780D5D9D" w14:textId="54566E38" w:rsidR="00EC6144" w:rsidRPr="006F4023" w:rsidRDefault="00EC6144">
            <w:pPr>
              <w:pStyle w:val="TableText"/>
              <w:numPr>
                <w:ilvl w:val="0"/>
                <w:numId w:val="8"/>
              </w:numPr>
              <w:rPr>
                <w:lang w:val="en-AU"/>
              </w:rPr>
            </w:pPr>
            <w:r w:rsidRPr="006F4023">
              <w:rPr>
                <w:lang w:val="en-AU"/>
              </w:rPr>
              <w:t xml:space="preserve">Combined </w:t>
            </w:r>
            <w:proofErr w:type="spellStart"/>
            <w:r w:rsidRPr="006F4023">
              <w:rPr>
                <w:lang w:val="en-AU"/>
              </w:rPr>
              <w:t>geomechanical</w:t>
            </w:r>
            <w:proofErr w:type="spellEnd"/>
            <w:r w:rsidRPr="006F4023">
              <w:rPr>
                <w:lang w:val="en-AU"/>
              </w:rPr>
              <w:t xml:space="preserve"> and groundwater flow modelling</w:t>
            </w:r>
            <w:r w:rsidR="00E21ADE" w:rsidRPr="006F4023">
              <w:rPr>
                <w:lang w:val="en-AU"/>
              </w:rPr>
              <w:t>, consistent with mine design</w:t>
            </w:r>
            <w:r w:rsidRPr="006F4023">
              <w:rPr>
                <w:lang w:val="en-AU"/>
              </w:rPr>
              <w:t xml:space="preserve"> are encouraged </w:t>
            </w:r>
            <w:r w:rsidR="00E21ADE" w:rsidRPr="006F4023">
              <w:rPr>
                <w:lang w:val="en-AU"/>
              </w:rPr>
              <w:t>within the Hydrogeological Risk Assessment to identify focus area</w:t>
            </w:r>
            <w:r w:rsidR="00605FD1" w:rsidRPr="006F4023">
              <w:rPr>
                <w:lang w:val="en-AU"/>
              </w:rPr>
              <w:t>s</w:t>
            </w:r>
            <w:r w:rsidR="00E21ADE" w:rsidRPr="006F4023">
              <w:rPr>
                <w:lang w:val="en-AU"/>
              </w:rPr>
              <w:t xml:space="preserve"> for specific asses</w:t>
            </w:r>
            <w:r w:rsidR="00605FD1" w:rsidRPr="006F4023">
              <w:rPr>
                <w:lang w:val="en-AU"/>
              </w:rPr>
              <w:t>sment</w:t>
            </w:r>
            <w:r w:rsidRPr="006F4023">
              <w:rPr>
                <w:lang w:val="en-AU"/>
              </w:rPr>
              <w:t>.  Stochastic or worse case numerical modelling approaches would be required to allow uncertainty of impacts to be considered in the risk assessment.</w:t>
            </w:r>
          </w:p>
        </w:tc>
      </w:tr>
    </w:tbl>
    <w:p w14:paraId="014A41D4" w14:textId="77777777" w:rsidR="001D0BD3" w:rsidRPr="006F4023" w:rsidRDefault="001D0BD3" w:rsidP="001D0BD3">
      <w:pPr>
        <w:tabs>
          <w:tab w:val="left" w:pos="567"/>
        </w:tabs>
        <w:sectPr w:rsidR="001D0BD3" w:rsidRPr="006F4023" w:rsidSect="00793655">
          <w:pgSz w:w="23814" w:h="16839" w:orient="landscape" w:code="8"/>
          <w:pgMar w:top="720" w:right="720" w:bottom="720" w:left="720" w:header="567" w:footer="567" w:gutter="0"/>
          <w:cols w:space="708"/>
          <w:docGrid w:linePitch="360"/>
        </w:sectPr>
      </w:pPr>
    </w:p>
    <w:p w14:paraId="0C4E5351" w14:textId="77777777" w:rsidR="00FC261A" w:rsidRPr="006F4023" w:rsidRDefault="00601873" w:rsidP="00793655">
      <w:pPr>
        <w:pStyle w:val="Heading1Numbered"/>
        <w:numPr>
          <w:ilvl w:val="0"/>
          <w:numId w:val="5"/>
        </w:numPr>
        <w:ind w:left="567" w:hanging="567"/>
      </w:pPr>
      <w:bookmarkStart w:id="354" w:name="_Toc55935166"/>
      <w:bookmarkStart w:id="355" w:name="_Toc55935258"/>
      <w:bookmarkStart w:id="356" w:name="_Toc55935627"/>
      <w:bookmarkStart w:id="357" w:name="_Toc56782110"/>
      <w:bookmarkStart w:id="358" w:name="_Toc56782245"/>
      <w:bookmarkStart w:id="359" w:name="_Toc57021684"/>
      <w:bookmarkStart w:id="360" w:name="_Toc57267003"/>
      <w:bookmarkStart w:id="361" w:name="_Toc55935167"/>
      <w:bookmarkStart w:id="362" w:name="_Toc55935259"/>
      <w:bookmarkStart w:id="363" w:name="_Toc55935628"/>
      <w:bookmarkStart w:id="364" w:name="_Toc56782111"/>
      <w:bookmarkStart w:id="365" w:name="_Toc56782246"/>
      <w:bookmarkStart w:id="366" w:name="_Toc57021685"/>
      <w:bookmarkStart w:id="367" w:name="_Toc57267004"/>
      <w:bookmarkStart w:id="368" w:name="_Toc55848989"/>
      <w:bookmarkStart w:id="369" w:name="_Toc55935168"/>
      <w:bookmarkStart w:id="370" w:name="_Toc55935260"/>
      <w:bookmarkStart w:id="371" w:name="_Toc55935629"/>
      <w:bookmarkStart w:id="372" w:name="_Toc56782112"/>
      <w:bookmarkStart w:id="373" w:name="_Toc56782247"/>
      <w:bookmarkStart w:id="374" w:name="_Toc57021686"/>
      <w:bookmarkStart w:id="375" w:name="_Toc57267005"/>
      <w:bookmarkStart w:id="376" w:name="_Toc55935169"/>
      <w:bookmarkStart w:id="377" w:name="_Toc55935261"/>
      <w:bookmarkStart w:id="378" w:name="_Toc55935630"/>
      <w:bookmarkStart w:id="379" w:name="_Toc56782113"/>
      <w:bookmarkStart w:id="380" w:name="_Toc56782248"/>
      <w:bookmarkStart w:id="381" w:name="_Toc57021687"/>
      <w:bookmarkStart w:id="382" w:name="_Toc57267006"/>
      <w:bookmarkStart w:id="383" w:name="_Toc55935170"/>
      <w:bookmarkStart w:id="384" w:name="_Toc55935262"/>
      <w:bookmarkStart w:id="385" w:name="_Toc55935631"/>
      <w:bookmarkStart w:id="386" w:name="_Toc56782114"/>
      <w:bookmarkStart w:id="387" w:name="_Toc56782249"/>
      <w:bookmarkStart w:id="388" w:name="_Toc57021688"/>
      <w:bookmarkStart w:id="389" w:name="_Toc57267007"/>
      <w:bookmarkStart w:id="390" w:name="_Toc66967199"/>
      <w:bookmarkStart w:id="391" w:name="_Toc42765127"/>
      <w:bookmarkStart w:id="392" w:name="_Toc18939315"/>
      <w:bookmarkStart w:id="393" w:name="_Toc19180631"/>
      <w:bookmarkStart w:id="394" w:name="_Toc19180711"/>
      <w:bookmarkEnd w:id="327"/>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r w:rsidRPr="006F4023">
        <w:lastRenderedPageBreak/>
        <w:t>Numerical</w:t>
      </w:r>
      <w:r w:rsidRPr="0038473D">
        <w:t xml:space="preserve"> s</w:t>
      </w:r>
      <w:r w:rsidR="00EA2215" w:rsidRPr="0038473D">
        <w:t>imulat</w:t>
      </w:r>
      <w:r w:rsidRPr="006F4023">
        <w:t>ion of</w:t>
      </w:r>
      <w:r w:rsidR="00FC261A" w:rsidRPr="006F4023">
        <w:t xml:space="preserve"> </w:t>
      </w:r>
      <w:r w:rsidR="00182138" w:rsidRPr="006F4023">
        <w:t xml:space="preserve">groundwater </w:t>
      </w:r>
      <w:r w:rsidRPr="006F4023">
        <w:t xml:space="preserve">flow </w:t>
      </w:r>
      <w:r w:rsidR="00182138" w:rsidRPr="006F4023">
        <w:t xml:space="preserve">systems with </w:t>
      </w:r>
      <w:r w:rsidR="00FC261A" w:rsidRPr="006F4023">
        <w:t>faults</w:t>
      </w:r>
      <w:bookmarkEnd w:id="390"/>
      <w:r w:rsidRPr="006F4023">
        <w:t xml:space="preserve"> </w:t>
      </w:r>
      <w:bookmarkEnd w:id="391"/>
    </w:p>
    <w:p w14:paraId="33DF0279" w14:textId="6248C2F7" w:rsidR="00AD397F" w:rsidRPr="006F4023" w:rsidRDefault="00B7522A" w:rsidP="00B7522A">
      <w:pPr>
        <w:pStyle w:val="BodyText"/>
        <w:rPr>
          <w:lang w:val="en-AU"/>
        </w:rPr>
      </w:pPr>
      <w:r w:rsidRPr="006F4023">
        <w:rPr>
          <w:lang w:val="en-AU"/>
        </w:rPr>
        <w:t>G</w:t>
      </w:r>
      <w:r w:rsidR="00A62943" w:rsidRPr="006F4023">
        <w:rPr>
          <w:lang w:val="en-AU"/>
        </w:rPr>
        <w:t xml:space="preserve">roundwater modelling </w:t>
      </w:r>
      <w:r w:rsidR="00E911CA" w:rsidRPr="006F4023">
        <w:rPr>
          <w:lang w:val="en-AU"/>
        </w:rPr>
        <w:t>is</w:t>
      </w:r>
      <w:r w:rsidR="000E4402" w:rsidRPr="006F4023">
        <w:rPr>
          <w:lang w:val="en-AU"/>
        </w:rPr>
        <w:t xml:space="preserve"> </w:t>
      </w:r>
      <w:r w:rsidR="000B1900" w:rsidRPr="006F4023">
        <w:rPr>
          <w:lang w:val="en-AU"/>
        </w:rPr>
        <w:t xml:space="preserve">a frequent tool </w:t>
      </w:r>
      <w:r w:rsidR="000E4402" w:rsidRPr="006F4023">
        <w:rPr>
          <w:lang w:val="en-AU"/>
        </w:rPr>
        <w:t>used to support the assessments of risks to groundwater</w:t>
      </w:r>
      <w:r w:rsidRPr="006F4023">
        <w:rPr>
          <w:lang w:val="en-AU"/>
        </w:rPr>
        <w:t xml:space="preserve"> </w:t>
      </w:r>
      <w:r w:rsidR="002A3D5F" w:rsidRPr="006F4023">
        <w:rPr>
          <w:lang w:val="en-AU"/>
        </w:rPr>
        <w:t>assets and GDE’s</w:t>
      </w:r>
      <w:r w:rsidR="000E4402" w:rsidRPr="006F4023">
        <w:rPr>
          <w:lang w:val="en-AU"/>
        </w:rPr>
        <w:t xml:space="preserve"> caused by LCM and CSG developments</w:t>
      </w:r>
      <w:r w:rsidR="00253A65" w:rsidRPr="006F4023">
        <w:rPr>
          <w:lang w:val="en-AU"/>
        </w:rPr>
        <w:t>, by simulating changes to groundwater levels</w:t>
      </w:r>
      <w:r w:rsidR="00E812FF" w:rsidRPr="006F4023">
        <w:rPr>
          <w:lang w:val="en-AU"/>
        </w:rPr>
        <w:t>,</w:t>
      </w:r>
      <w:r w:rsidR="00253A65" w:rsidRPr="006F4023">
        <w:rPr>
          <w:lang w:val="en-AU"/>
        </w:rPr>
        <w:t xml:space="preserve"> flows and </w:t>
      </w:r>
      <w:r w:rsidR="00F54D82" w:rsidRPr="006F4023">
        <w:rPr>
          <w:bdr w:val="none" w:sz="0" w:space="0" w:color="auto" w:frame="1"/>
          <w:lang w:val="en-AU"/>
        </w:rPr>
        <w:t xml:space="preserve">spatial distributions of </w:t>
      </w:r>
      <w:r w:rsidR="00125F91" w:rsidRPr="006F4023">
        <w:rPr>
          <w:bdr w:val="none" w:sz="0" w:space="0" w:color="auto" w:frame="1"/>
          <w:lang w:val="en-AU"/>
        </w:rPr>
        <w:t>groundwater quality</w:t>
      </w:r>
      <w:r w:rsidR="00F54D82" w:rsidRPr="006F4023">
        <w:rPr>
          <w:bdr w:val="none" w:sz="0" w:space="0" w:color="auto" w:frame="1"/>
          <w:lang w:val="en-AU"/>
        </w:rPr>
        <w:t>,</w:t>
      </w:r>
      <w:r w:rsidR="00253A65" w:rsidRPr="006F4023">
        <w:rPr>
          <w:lang w:val="en-AU"/>
        </w:rPr>
        <w:t xml:space="preserve"> that may occur </w:t>
      </w:r>
      <w:proofErr w:type="gramStart"/>
      <w:r w:rsidR="00253A65" w:rsidRPr="006F4023">
        <w:rPr>
          <w:lang w:val="en-AU"/>
        </w:rPr>
        <w:t>as a result of</w:t>
      </w:r>
      <w:proofErr w:type="gramEnd"/>
      <w:r w:rsidR="00253A65" w:rsidRPr="006F4023">
        <w:rPr>
          <w:lang w:val="en-AU"/>
        </w:rPr>
        <w:t xml:space="preserve"> the development</w:t>
      </w:r>
      <w:r w:rsidR="008F3D9F">
        <w:rPr>
          <w:lang w:val="en-AU"/>
        </w:rPr>
        <w:t xml:space="preserve"> (Barnett et. al. 2012)</w:t>
      </w:r>
      <w:r w:rsidR="000E4402" w:rsidRPr="006F4023">
        <w:rPr>
          <w:lang w:val="en-AU"/>
        </w:rPr>
        <w:t xml:space="preserve">. </w:t>
      </w:r>
      <w:r w:rsidR="00AD397F" w:rsidRPr="006F4023">
        <w:rPr>
          <w:lang w:val="en-AU"/>
        </w:rPr>
        <w:t>Numerical groundwater models are adopted for this purpose because of the complexity of</w:t>
      </w:r>
      <w:r w:rsidR="00EA2215" w:rsidRPr="006F4023">
        <w:rPr>
          <w:lang w:val="en-AU"/>
        </w:rPr>
        <w:t xml:space="preserve"> the relationship between</w:t>
      </w:r>
      <w:r w:rsidR="00AD397F" w:rsidRPr="006F4023">
        <w:rPr>
          <w:lang w:val="en-AU"/>
        </w:rPr>
        <w:t xml:space="preserve"> </w:t>
      </w:r>
      <w:r w:rsidR="00EA2215" w:rsidRPr="006F4023">
        <w:rPr>
          <w:lang w:val="en-AU"/>
        </w:rPr>
        <w:t>a groundwater system and LCM</w:t>
      </w:r>
      <w:r w:rsidR="00AD397F" w:rsidRPr="006F4023">
        <w:rPr>
          <w:lang w:val="en-AU"/>
        </w:rPr>
        <w:t xml:space="preserve"> </w:t>
      </w:r>
      <w:r w:rsidR="00EA2215" w:rsidRPr="006F4023">
        <w:rPr>
          <w:lang w:val="en-AU"/>
        </w:rPr>
        <w:t xml:space="preserve">and CSG </w:t>
      </w:r>
      <w:r w:rsidR="00AD397F" w:rsidRPr="006F4023">
        <w:rPr>
          <w:lang w:val="en-AU"/>
        </w:rPr>
        <w:t xml:space="preserve">developments. In </w:t>
      </w:r>
      <w:r w:rsidR="00702EE7" w:rsidRPr="006F4023">
        <w:rPr>
          <w:lang w:val="en-AU"/>
        </w:rPr>
        <w:t xml:space="preserve">the implementation of </w:t>
      </w:r>
      <w:r w:rsidR="00AD397F" w:rsidRPr="006F4023">
        <w:rPr>
          <w:lang w:val="en-AU"/>
        </w:rPr>
        <w:t xml:space="preserve">these numerical models, analytical models may be adopted to analyse data at a local scale to support both the </w:t>
      </w:r>
      <w:r w:rsidR="003F1824" w:rsidRPr="006F4023">
        <w:rPr>
          <w:lang w:val="en-AU"/>
        </w:rPr>
        <w:t>conceptualisation</w:t>
      </w:r>
      <w:r w:rsidR="00AD397F" w:rsidRPr="006F4023">
        <w:rPr>
          <w:lang w:val="en-AU"/>
        </w:rPr>
        <w:t xml:space="preserve"> of the</w:t>
      </w:r>
      <w:r w:rsidR="009979C7" w:rsidRPr="006F4023">
        <w:rPr>
          <w:lang w:val="en-AU"/>
        </w:rPr>
        <w:t xml:space="preserve"> </w:t>
      </w:r>
      <w:r w:rsidR="00235163" w:rsidRPr="006F4023">
        <w:rPr>
          <w:lang w:val="en-AU"/>
        </w:rPr>
        <w:t>behaviour</w:t>
      </w:r>
      <w:r w:rsidR="009979C7" w:rsidRPr="006F4023">
        <w:rPr>
          <w:lang w:val="en-AU"/>
        </w:rPr>
        <w:t xml:space="preserve"> </w:t>
      </w:r>
      <w:r w:rsidR="00702EE7" w:rsidRPr="006F4023">
        <w:rPr>
          <w:lang w:val="en-AU"/>
        </w:rPr>
        <w:t>of the groundwater system in the presence of faults</w:t>
      </w:r>
      <w:r w:rsidR="00AD397F" w:rsidRPr="006F4023">
        <w:rPr>
          <w:lang w:val="en-AU"/>
        </w:rPr>
        <w:t xml:space="preserve">, and the </w:t>
      </w:r>
      <w:r w:rsidR="00601873" w:rsidRPr="006F4023">
        <w:rPr>
          <w:lang w:val="en-AU"/>
        </w:rPr>
        <w:t xml:space="preserve">estimation of fault </w:t>
      </w:r>
      <w:r w:rsidR="00AD397F" w:rsidRPr="006F4023">
        <w:rPr>
          <w:lang w:val="en-AU"/>
        </w:rPr>
        <w:t>parameter</w:t>
      </w:r>
      <w:r w:rsidR="00601873" w:rsidRPr="006F4023">
        <w:rPr>
          <w:lang w:val="en-AU"/>
        </w:rPr>
        <w:t>s that will be used in the numerical models</w:t>
      </w:r>
      <w:r w:rsidR="00AD397F" w:rsidRPr="006F4023">
        <w:rPr>
          <w:lang w:val="en-AU"/>
        </w:rPr>
        <w:t>.</w:t>
      </w:r>
    </w:p>
    <w:p w14:paraId="0D6EB0B4" w14:textId="58ABA9A3" w:rsidR="00702EE7" w:rsidRPr="006F4023" w:rsidRDefault="00B7522A" w:rsidP="009979C7">
      <w:pPr>
        <w:pStyle w:val="BodyText"/>
        <w:rPr>
          <w:lang w:val="en-AU"/>
        </w:rPr>
      </w:pPr>
      <w:r w:rsidRPr="006F4023">
        <w:rPr>
          <w:lang w:val="en-AU"/>
        </w:rPr>
        <w:t>Most of the</w:t>
      </w:r>
      <w:r w:rsidR="000E4402" w:rsidRPr="006F4023">
        <w:rPr>
          <w:lang w:val="en-AU"/>
        </w:rPr>
        <w:t xml:space="preserve"> industry standard </w:t>
      </w:r>
      <w:r w:rsidR="00AD397F" w:rsidRPr="006F4023">
        <w:rPr>
          <w:lang w:val="en-AU"/>
        </w:rPr>
        <w:t xml:space="preserve">numerical </w:t>
      </w:r>
      <w:r w:rsidR="000E4402" w:rsidRPr="006F4023">
        <w:rPr>
          <w:lang w:val="en-AU"/>
        </w:rPr>
        <w:t>groundwater modelling codes</w:t>
      </w:r>
      <w:r w:rsidRPr="006F4023">
        <w:rPr>
          <w:lang w:val="en-AU"/>
        </w:rPr>
        <w:t>,</w:t>
      </w:r>
      <w:r w:rsidR="000E4402" w:rsidRPr="006F4023">
        <w:rPr>
          <w:lang w:val="en-AU"/>
        </w:rPr>
        <w:t xml:space="preserve"> such as MODFLOW</w:t>
      </w:r>
      <w:r w:rsidRPr="006F4023">
        <w:rPr>
          <w:lang w:val="en-AU"/>
        </w:rPr>
        <w:t xml:space="preserve"> (</w:t>
      </w:r>
      <w:r w:rsidR="009A24EA" w:rsidRPr="006F4023">
        <w:rPr>
          <w:lang w:val="en-AU"/>
        </w:rPr>
        <w:t>Harbaugh 2005; Langevin et al. 2017</w:t>
      </w:r>
      <w:r w:rsidRPr="006F4023">
        <w:rPr>
          <w:lang w:val="en-AU"/>
        </w:rPr>
        <w:t>)</w:t>
      </w:r>
      <w:r w:rsidR="002B473D" w:rsidRPr="006F4023">
        <w:rPr>
          <w:lang w:val="en-AU"/>
        </w:rPr>
        <w:t xml:space="preserve"> or </w:t>
      </w:r>
      <w:r w:rsidR="002F6F44" w:rsidRPr="006F4023">
        <w:rPr>
          <w:lang w:val="en-AU"/>
        </w:rPr>
        <w:t xml:space="preserve">FEFLOW </w:t>
      </w:r>
      <w:r w:rsidR="00D129E4" w:rsidRPr="006F4023">
        <w:rPr>
          <w:lang w:val="en-AU"/>
        </w:rPr>
        <w:t>(</w:t>
      </w:r>
      <w:proofErr w:type="spellStart"/>
      <w:r w:rsidR="009A24EA" w:rsidRPr="006F4023">
        <w:rPr>
          <w:lang w:val="en-AU"/>
        </w:rPr>
        <w:t>Diersch</w:t>
      </w:r>
      <w:proofErr w:type="spellEnd"/>
      <w:r w:rsidR="009A24EA" w:rsidRPr="006F4023">
        <w:rPr>
          <w:lang w:val="en-AU"/>
        </w:rPr>
        <w:t xml:space="preserve"> 2014</w:t>
      </w:r>
      <w:r w:rsidR="00D129E4" w:rsidRPr="006F4023">
        <w:rPr>
          <w:lang w:val="en-AU"/>
        </w:rPr>
        <w:t>)</w:t>
      </w:r>
      <w:r w:rsidRPr="006F4023">
        <w:rPr>
          <w:lang w:val="en-AU"/>
        </w:rPr>
        <w:t>,</w:t>
      </w:r>
      <w:r w:rsidR="000E4402" w:rsidRPr="006F4023">
        <w:rPr>
          <w:lang w:val="en-AU"/>
        </w:rPr>
        <w:t xml:space="preserve"> </w:t>
      </w:r>
      <w:r w:rsidRPr="006F4023">
        <w:rPr>
          <w:lang w:val="en-AU"/>
        </w:rPr>
        <w:t>represent subsurface hydraulic properties</w:t>
      </w:r>
      <w:r w:rsidR="00E812FF" w:rsidRPr="006F4023">
        <w:rPr>
          <w:lang w:val="en-AU"/>
        </w:rPr>
        <w:t xml:space="preserve"> by modelling the material</w:t>
      </w:r>
      <w:r w:rsidRPr="006F4023">
        <w:rPr>
          <w:lang w:val="en-AU"/>
        </w:rPr>
        <w:t xml:space="preserve"> as a porous media</w:t>
      </w:r>
      <w:r w:rsidR="000E4402" w:rsidRPr="006F4023">
        <w:rPr>
          <w:lang w:val="en-AU"/>
        </w:rPr>
        <w:t xml:space="preserve">. The hydraulic properties of this porous media are </w:t>
      </w:r>
      <w:r w:rsidR="00694E67" w:rsidRPr="006F4023">
        <w:rPr>
          <w:lang w:val="en-AU"/>
        </w:rPr>
        <w:t>represented in the model</w:t>
      </w:r>
      <w:r w:rsidR="000E4402" w:rsidRPr="006F4023">
        <w:rPr>
          <w:lang w:val="en-AU"/>
        </w:rPr>
        <w:t xml:space="preserve"> by</w:t>
      </w:r>
      <w:r w:rsidRPr="006F4023">
        <w:rPr>
          <w:lang w:val="en-AU"/>
        </w:rPr>
        <w:t xml:space="preserve"> spatially distributed </w:t>
      </w:r>
      <w:r w:rsidR="000E4402" w:rsidRPr="006F4023">
        <w:rPr>
          <w:lang w:val="en-AU"/>
        </w:rPr>
        <w:t xml:space="preserve">permeability, </w:t>
      </w:r>
      <w:proofErr w:type="gramStart"/>
      <w:r w:rsidR="000E4402" w:rsidRPr="006F4023">
        <w:rPr>
          <w:lang w:val="en-AU"/>
        </w:rPr>
        <w:t>storage</w:t>
      </w:r>
      <w:proofErr w:type="gramEnd"/>
      <w:r w:rsidR="000E4402" w:rsidRPr="006F4023">
        <w:rPr>
          <w:lang w:val="en-AU"/>
        </w:rPr>
        <w:t xml:space="preserve"> and porosity model parameters. </w:t>
      </w:r>
      <w:r w:rsidR="002A3D5F" w:rsidRPr="006F4023">
        <w:rPr>
          <w:lang w:val="en-AU"/>
        </w:rPr>
        <w:t>T</w:t>
      </w:r>
      <w:r w:rsidR="000E4402" w:rsidRPr="006F4023">
        <w:rPr>
          <w:lang w:val="en-AU"/>
        </w:rPr>
        <w:t xml:space="preserve">he model </w:t>
      </w:r>
      <w:r w:rsidR="00702EE7" w:rsidRPr="006F4023">
        <w:rPr>
          <w:lang w:val="en-AU"/>
        </w:rPr>
        <w:t>implements solutions of the</w:t>
      </w:r>
      <w:r w:rsidR="000E4402" w:rsidRPr="006F4023">
        <w:rPr>
          <w:lang w:val="en-AU"/>
        </w:rPr>
        <w:t xml:space="preserve"> equations of groundwater flow</w:t>
      </w:r>
      <w:r w:rsidR="00694E67" w:rsidRPr="006F4023">
        <w:rPr>
          <w:lang w:val="en-AU"/>
        </w:rPr>
        <w:t xml:space="preserve"> to</w:t>
      </w:r>
      <w:r w:rsidR="002A3D5F" w:rsidRPr="006F4023">
        <w:rPr>
          <w:lang w:val="en-AU"/>
        </w:rPr>
        <w:t xml:space="preserve"> c</w:t>
      </w:r>
      <w:r w:rsidRPr="006F4023">
        <w:rPr>
          <w:lang w:val="en-AU"/>
        </w:rPr>
        <w:t>alculat</w:t>
      </w:r>
      <w:r w:rsidR="00694E67" w:rsidRPr="006F4023">
        <w:rPr>
          <w:lang w:val="en-AU"/>
        </w:rPr>
        <w:t>e changes in</w:t>
      </w:r>
      <w:r w:rsidRPr="006F4023">
        <w:rPr>
          <w:lang w:val="en-AU"/>
        </w:rPr>
        <w:t xml:space="preserve"> g</w:t>
      </w:r>
      <w:r w:rsidR="000E4402" w:rsidRPr="006F4023">
        <w:rPr>
          <w:lang w:val="en-AU"/>
        </w:rPr>
        <w:t>roundwater levels, flows and</w:t>
      </w:r>
      <w:r w:rsidRPr="006F4023">
        <w:rPr>
          <w:lang w:val="en-AU"/>
        </w:rPr>
        <w:t xml:space="preserve"> concentrations</w:t>
      </w:r>
      <w:r w:rsidR="002A3D5F" w:rsidRPr="006F4023">
        <w:rPr>
          <w:lang w:val="en-AU"/>
        </w:rPr>
        <w:t xml:space="preserve"> under changing stresses </w:t>
      </w:r>
      <w:r w:rsidR="00694E67" w:rsidRPr="006F4023">
        <w:rPr>
          <w:lang w:val="en-AU"/>
        </w:rPr>
        <w:t xml:space="preserve">that may </w:t>
      </w:r>
      <w:r w:rsidR="002A3D5F" w:rsidRPr="006F4023">
        <w:rPr>
          <w:lang w:val="en-AU"/>
        </w:rPr>
        <w:t>result from the development</w:t>
      </w:r>
      <w:r w:rsidR="000E4402" w:rsidRPr="006F4023">
        <w:rPr>
          <w:lang w:val="en-AU"/>
        </w:rPr>
        <w:t>.</w:t>
      </w:r>
      <w:r w:rsidRPr="006F4023">
        <w:rPr>
          <w:lang w:val="en-AU"/>
        </w:rPr>
        <w:t xml:space="preserve"> </w:t>
      </w:r>
    </w:p>
    <w:p w14:paraId="6A7DAD93" w14:textId="348C0C61" w:rsidR="009979C7" w:rsidRPr="006F4023" w:rsidRDefault="00EC5DE7" w:rsidP="009979C7">
      <w:pPr>
        <w:pStyle w:val="BodyText"/>
        <w:rPr>
          <w:lang w:val="en-AU"/>
        </w:rPr>
      </w:pPr>
      <w:r w:rsidRPr="002A7BAB">
        <w:rPr>
          <w:lang w:val="en-AU"/>
        </w:rPr>
        <w:t>Where the hydraulic parameters of subsurface strata differ significantly adjacent to or on opposite sides of a fault, the impact and risks must be considered conceptually and in the groundwater model. The following impacts on groundwater flow are possible</w:t>
      </w:r>
      <w:r w:rsidR="009979C7" w:rsidRPr="003C6226">
        <w:rPr>
          <w:lang w:val="en-AU"/>
        </w:rPr>
        <w:t>:</w:t>
      </w:r>
    </w:p>
    <w:p w14:paraId="7278C57A" w14:textId="0D4015B7" w:rsidR="009979C7" w:rsidRPr="006F4023" w:rsidRDefault="00613D01" w:rsidP="00523649">
      <w:pPr>
        <w:pStyle w:val="BodyText"/>
        <w:numPr>
          <w:ilvl w:val="0"/>
          <w:numId w:val="27"/>
        </w:numPr>
        <w:rPr>
          <w:lang w:val="en-AU"/>
        </w:rPr>
      </w:pPr>
      <w:r w:rsidRPr="0038473D">
        <w:rPr>
          <w:lang w:val="en-AU"/>
        </w:rPr>
        <w:t>a</w:t>
      </w:r>
      <w:r w:rsidR="009979C7" w:rsidRPr="0038473D">
        <w:rPr>
          <w:lang w:val="en-AU"/>
        </w:rPr>
        <w:t xml:space="preserve"> fault may present a barrier to horizontal water movement</w:t>
      </w:r>
      <w:r w:rsidR="005579ED" w:rsidRPr="006F4023">
        <w:rPr>
          <w:lang w:val="en-AU"/>
        </w:rPr>
        <w:t>, or i</w:t>
      </w:r>
      <w:r w:rsidR="009979C7" w:rsidRPr="006F4023">
        <w:rPr>
          <w:lang w:val="en-AU"/>
        </w:rPr>
        <w:t>t may provide a conduit for rapid water movement</w:t>
      </w:r>
      <w:r w:rsidR="005579ED" w:rsidRPr="006F4023">
        <w:rPr>
          <w:lang w:val="en-AU"/>
        </w:rPr>
        <w:t>, or it may act as both a barrier and a conduit</w:t>
      </w:r>
      <w:r w:rsidR="009979C7" w:rsidRPr="006F4023">
        <w:rPr>
          <w:lang w:val="en-AU"/>
        </w:rPr>
        <w:t xml:space="preserve">; </w:t>
      </w:r>
      <w:r w:rsidRPr="006F4023">
        <w:rPr>
          <w:lang w:val="en-AU"/>
        </w:rPr>
        <w:t>and</w:t>
      </w:r>
    </w:p>
    <w:p w14:paraId="1E3CDACC" w14:textId="6E8DB9E9" w:rsidR="009979C7" w:rsidRPr="006F4023" w:rsidRDefault="00613D01" w:rsidP="00523649">
      <w:pPr>
        <w:pStyle w:val="BodyText"/>
        <w:numPr>
          <w:ilvl w:val="0"/>
          <w:numId w:val="27"/>
        </w:numPr>
        <w:rPr>
          <w:lang w:val="en-AU"/>
        </w:rPr>
      </w:pPr>
      <w:r w:rsidRPr="006F4023">
        <w:rPr>
          <w:lang w:val="en-AU"/>
        </w:rPr>
        <w:t>f</w:t>
      </w:r>
      <w:r w:rsidR="00F31687" w:rsidRPr="006F4023">
        <w:rPr>
          <w:lang w:val="en-AU"/>
        </w:rPr>
        <w:t>ault zones may</w:t>
      </w:r>
      <w:r w:rsidR="009979C7" w:rsidRPr="006F4023">
        <w:rPr>
          <w:lang w:val="en-AU"/>
        </w:rPr>
        <w:t xml:space="preserve"> provide </w:t>
      </w:r>
      <w:r w:rsidR="00520773" w:rsidRPr="006F4023">
        <w:rPr>
          <w:lang w:val="en-AU"/>
        </w:rPr>
        <w:t>flow</w:t>
      </w:r>
      <w:r w:rsidR="004613FC" w:rsidRPr="006F4023">
        <w:rPr>
          <w:lang w:val="en-AU"/>
        </w:rPr>
        <w:t xml:space="preserve"> </w:t>
      </w:r>
      <w:r w:rsidR="00520773" w:rsidRPr="006F4023">
        <w:rPr>
          <w:lang w:val="en-AU"/>
        </w:rPr>
        <w:t>path</w:t>
      </w:r>
      <w:r w:rsidR="00F31687" w:rsidRPr="006F4023">
        <w:rPr>
          <w:lang w:val="en-AU"/>
        </w:rPr>
        <w:t>s</w:t>
      </w:r>
      <w:r w:rsidR="00520773" w:rsidRPr="006F4023">
        <w:rPr>
          <w:lang w:val="en-AU"/>
        </w:rPr>
        <w:t xml:space="preserve"> between</w:t>
      </w:r>
      <w:r w:rsidR="009979C7" w:rsidRPr="006F4023">
        <w:rPr>
          <w:lang w:val="en-AU"/>
        </w:rPr>
        <w:t xml:space="preserve"> upper and lower layers through</w:t>
      </w:r>
      <w:r w:rsidR="0034655D" w:rsidRPr="006F4023">
        <w:rPr>
          <w:lang w:val="en-AU"/>
        </w:rPr>
        <w:t xml:space="preserve"> aquitards</w:t>
      </w:r>
      <w:r w:rsidR="00E93B61" w:rsidRPr="006F4023">
        <w:rPr>
          <w:lang w:val="en-AU"/>
        </w:rPr>
        <w:t xml:space="preserve"> that otherwise are of high integrity</w:t>
      </w:r>
      <w:r w:rsidR="009979C7" w:rsidRPr="006F4023">
        <w:rPr>
          <w:lang w:val="en-AU"/>
        </w:rPr>
        <w:t>.</w:t>
      </w:r>
    </w:p>
    <w:p w14:paraId="1FA29928" w14:textId="77777777" w:rsidR="00FC261A" w:rsidRPr="006F4023" w:rsidRDefault="00EE5559" w:rsidP="007E2D6E">
      <w:pPr>
        <w:pStyle w:val="Heading2Numbered"/>
      </w:pPr>
      <w:bookmarkStart w:id="395" w:name="_Toc42765128"/>
      <w:bookmarkStart w:id="396" w:name="_Toc66967200"/>
      <w:r w:rsidRPr="006F4023">
        <w:t>R</w:t>
      </w:r>
      <w:r w:rsidR="00FC261A" w:rsidRPr="006F4023">
        <w:t xml:space="preserve">epresenting faults in </w:t>
      </w:r>
      <w:r w:rsidRPr="006F4023">
        <w:t>groundwater model</w:t>
      </w:r>
      <w:r w:rsidR="00FC261A" w:rsidRPr="006F4023">
        <w:t>s</w:t>
      </w:r>
      <w:bookmarkEnd w:id="395"/>
      <w:bookmarkEnd w:id="396"/>
    </w:p>
    <w:p w14:paraId="250D4F24" w14:textId="0A9CBF9B" w:rsidR="00340682" w:rsidRPr="006F4023" w:rsidRDefault="003A6FD7" w:rsidP="003A6FD7">
      <w:pPr>
        <w:pStyle w:val="BodyText"/>
        <w:rPr>
          <w:lang w:val="en-AU"/>
        </w:rPr>
      </w:pPr>
      <w:r w:rsidRPr="006F4023">
        <w:rPr>
          <w:lang w:val="en-AU"/>
        </w:rPr>
        <w:t xml:space="preserve">The representation of faults in groundwater models ranges from the simple to the very complex. Faults may be represented simply via the adjustment of </w:t>
      </w:r>
      <w:r w:rsidR="00EA2215" w:rsidRPr="006F4023">
        <w:rPr>
          <w:lang w:val="en-AU"/>
        </w:rPr>
        <w:t xml:space="preserve">model </w:t>
      </w:r>
      <w:r w:rsidRPr="006F4023">
        <w:rPr>
          <w:lang w:val="en-AU"/>
        </w:rPr>
        <w:t>parameter values</w:t>
      </w:r>
      <w:r w:rsidR="00EA2215" w:rsidRPr="006F4023">
        <w:rPr>
          <w:lang w:val="en-AU"/>
        </w:rPr>
        <w:t xml:space="preserve"> </w:t>
      </w:r>
      <w:r w:rsidR="00340682" w:rsidRPr="006F4023">
        <w:rPr>
          <w:lang w:val="en-AU"/>
        </w:rPr>
        <w:t xml:space="preserve">at </w:t>
      </w:r>
      <w:r w:rsidRPr="006F4023">
        <w:rPr>
          <w:lang w:val="en-AU"/>
        </w:rPr>
        <w:t>fault locations, to represent the altered hydraulic properties of the fault</w:t>
      </w:r>
      <w:r w:rsidR="00702EE7" w:rsidRPr="006F4023">
        <w:rPr>
          <w:lang w:val="en-AU"/>
        </w:rPr>
        <w:t xml:space="preserve"> relative to the adjacent </w:t>
      </w:r>
      <w:r w:rsidR="0047354B" w:rsidRPr="006F4023">
        <w:rPr>
          <w:lang w:val="en-AU"/>
        </w:rPr>
        <w:t>strata</w:t>
      </w:r>
      <w:r w:rsidRPr="006F4023">
        <w:rPr>
          <w:lang w:val="en-AU"/>
        </w:rPr>
        <w:t>.</w:t>
      </w:r>
      <w:r w:rsidR="005A76B8" w:rsidRPr="006F4023">
        <w:rPr>
          <w:lang w:val="en-AU"/>
        </w:rPr>
        <w:t xml:space="preserve"> Alternatively</w:t>
      </w:r>
      <w:r w:rsidR="001F3BD1" w:rsidRPr="006F4023">
        <w:rPr>
          <w:lang w:val="en-AU"/>
        </w:rPr>
        <w:t>,</w:t>
      </w:r>
      <w:r w:rsidR="005A76B8" w:rsidRPr="006F4023">
        <w:rPr>
          <w:lang w:val="en-AU"/>
        </w:rPr>
        <w:t xml:space="preserve"> faults may be represented explicitly within model meshes by offsetting and connecting layers, pinching out layers, or by including boundary conditions that represent fault connectivity or barriers to flow. </w:t>
      </w:r>
      <w:r w:rsidRPr="006F4023">
        <w:rPr>
          <w:lang w:val="en-AU"/>
        </w:rPr>
        <w:t xml:space="preserve"> Th</w:t>
      </w:r>
      <w:r w:rsidR="005A76B8" w:rsidRPr="006F4023">
        <w:rPr>
          <w:lang w:val="en-AU"/>
        </w:rPr>
        <w:t>ese methods</w:t>
      </w:r>
      <w:r w:rsidRPr="006F4023">
        <w:rPr>
          <w:lang w:val="en-AU"/>
        </w:rPr>
        <w:t xml:space="preserve"> </w:t>
      </w:r>
      <w:r w:rsidR="005A76B8" w:rsidRPr="006F4023">
        <w:rPr>
          <w:lang w:val="en-AU"/>
        </w:rPr>
        <w:t xml:space="preserve">are </w:t>
      </w:r>
      <w:r w:rsidRPr="006F4023">
        <w:rPr>
          <w:lang w:val="en-AU"/>
        </w:rPr>
        <w:t>‘single continuum’, or ‘equivalent porous media’ approach</w:t>
      </w:r>
      <w:r w:rsidR="005A76B8" w:rsidRPr="006F4023">
        <w:rPr>
          <w:lang w:val="en-AU"/>
        </w:rPr>
        <w:t>es</w:t>
      </w:r>
      <w:r w:rsidR="00EA2215" w:rsidRPr="006F4023">
        <w:rPr>
          <w:lang w:val="en-AU"/>
        </w:rPr>
        <w:t xml:space="preserve"> to modelling the fault</w:t>
      </w:r>
      <w:r w:rsidRPr="006F4023">
        <w:rPr>
          <w:lang w:val="en-AU"/>
        </w:rPr>
        <w:t xml:space="preserve">. Alternatively, depending on the nature and scale of the groundwater impact under consideration, faults may be represented using a ‘dual continuum’ modelling approach. These dual continuum approaches represent the subsurface as a combination of fractures and a matrix.  These fractures may be represented either explicitly or implicitly, </w:t>
      </w:r>
      <w:proofErr w:type="gramStart"/>
      <w:r w:rsidRPr="006F4023">
        <w:rPr>
          <w:lang w:val="en-AU"/>
        </w:rPr>
        <w:t>e.g.</w:t>
      </w:r>
      <w:proofErr w:type="gramEnd"/>
      <w:r w:rsidRPr="006F4023">
        <w:rPr>
          <w:lang w:val="en-AU"/>
        </w:rPr>
        <w:t xml:space="preserve"> using a Discrete Fracture Network (DFN), or dual porosity approach respectively.  </w:t>
      </w:r>
    </w:p>
    <w:p w14:paraId="3BDA4D3A" w14:textId="52734EAB" w:rsidR="003A6FD7" w:rsidRPr="006F4023" w:rsidRDefault="00EA2215" w:rsidP="003A6FD7">
      <w:pPr>
        <w:pStyle w:val="BodyText"/>
        <w:rPr>
          <w:lang w:val="en-AU"/>
        </w:rPr>
      </w:pPr>
      <w:r w:rsidRPr="006F4023">
        <w:rPr>
          <w:lang w:val="en-AU"/>
        </w:rPr>
        <w:t>There are pros and cons to adopting</w:t>
      </w:r>
      <w:r w:rsidR="0047354B" w:rsidRPr="006F4023">
        <w:rPr>
          <w:lang w:val="en-AU"/>
        </w:rPr>
        <w:t xml:space="preserve"> either</w:t>
      </w:r>
      <w:r w:rsidRPr="006F4023">
        <w:rPr>
          <w:lang w:val="en-AU"/>
        </w:rPr>
        <w:t xml:space="preserve"> a single or dual continuum approach, and in the selection of various parameter discretisation options. These pros and cons are of varying importance in different groundwater modelling context</w:t>
      </w:r>
      <w:r w:rsidR="00294636" w:rsidRPr="006F4023">
        <w:rPr>
          <w:lang w:val="en-AU"/>
        </w:rPr>
        <w:t xml:space="preserve">s. </w:t>
      </w:r>
      <w:proofErr w:type="spellStart"/>
      <w:r w:rsidR="00340682" w:rsidRPr="006F4023">
        <w:rPr>
          <w:lang w:val="en-AU"/>
        </w:rPr>
        <w:t>Hadgu</w:t>
      </w:r>
      <w:proofErr w:type="spellEnd"/>
      <w:r w:rsidR="00340682" w:rsidRPr="006F4023">
        <w:rPr>
          <w:lang w:val="en-AU"/>
        </w:rPr>
        <w:t xml:space="preserve"> et al (2017) </w:t>
      </w:r>
      <w:r w:rsidR="00A93BA8" w:rsidRPr="006F4023">
        <w:rPr>
          <w:lang w:val="en-AU"/>
        </w:rPr>
        <w:t xml:space="preserve">in a study that compares equivalent porous media </w:t>
      </w:r>
      <w:r w:rsidR="0057638C">
        <w:rPr>
          <w:lang w:val="en-AU"/>
        </w:rPr>
        <w:t xml:space="preserve">(EPM) </w:t>
      </w:r>
      <w:r w:rsidR="00A93BA8" w:rsidRPr="006F4023">
        <w:rPr>
          <w:lang w:val="en-AU"/>
        </w:rPr>
        <w:t xml:space="preserve">and DFN representations </w:t>
      </w:r>
      <w:r w:rsidR="00340682" w:rsidRPr="006F4023">
        <w:rPr>
          <w:lang w:val="en-AU"/>
        </w:rPr>
        <w:t>discuss factors to be considered in selecting between approaches</w:t>
      </w:r>
      <w:r w:rsidR="001F3BD1" w:rsidRPr="006F4023">
        <w:rPr>
          <w:lang w:val="en-AU"/>
        </w:rPr>
        <w:t>, including</w:t>
      </w:r>
      <w:r w:rsidR="00340682" w:rsidRPr="006F4023">
        <w:rPr>
          <w:lang w:val="en-AU"/>
        </w:rPr>
        <w:t xml:space="preserve">: the size of the modelling domain; the availability of </w:t>
      </w:r>
      <w:r w:rsidR="00640DD1" w:rsidRPr="006F4023">
        <w:rPr>
          <w:lang w:val="en-AU"/>
        </w:rPr>
        <w:t xml:space="preserve">data; the anisotropy in permeability; and whether diffusion or sorption of contaminants is required. As the distance between </w:t>
      </w:r>
      <w:r w:rsidR="000D1730" w:rsidRPr="006F4023">
        <w:rPr>
          <w:lang w:val="en-AU"/>
        </w:rPr>
        <w:t xml:space="preserve">the </w:t>
      </w:r>
      <w:r w:rsidR="00640DD1" w:rsidRPr="006F4023">
        <w:rPr>
          <w:lang w:val="en-AU"/>
        </w:rPr>
        <w:t>project</w:t>
      </w:r>
      <w:r w:rsidR="000D1730" w:rsidRPr="006F4023">
        <w:rPr>
          <w:lang w:val="en-AU"/>
        </w:rPr>
        <w:t xml:space="preserve"> site</w:t>
      </w:r>
      <w:r w:rsidR="00640DD1" w:rsidRPr="006F4023">
        <w:rPr>
          <w:lang w:val="en-AU"/>
        </w:rPr>
        <w:t xml:space="preserve"> and faults increases, the approximations introduced by the EPM approach </w:t>
      </w:r>
      <w:r w:rsidR="00BC7C69" w:rsidRPr="006F4023">
        <w:rPr>
          <w:lang w:val="en-AU"/>
        </w:rPr>
        <w:t xml:space="preserve">may </w:t>
      </w:r>
      <w:r w:rsidR="00640DD1" w:rsidRPr="006F4023">
        <w:rPr>
          <w:lang w:val="en-AU"/>
        </w:rPr>
        <w:t>become less important</w:t>
      </w:r>
      <w:r w:rsidR="00605FD1" w:rsidRPr="006F4023">
        <w:rPr>
          <w:lang w:val="en-AU"/>
        </w:rPr>
        <w:t xml:space="preserve"> (Reynolds, 1977)</w:t>
      </w:r>
      <w:r w:rsidR="00A93BA8" w:rsidRPr="0038473D">
        <w:rPr>
          <w:lang w:val="en-AU"/>
        </w:rPr>
        <w:t>.</w:t>
      </w:r>
      <w:r w:rsidR="00640DD1" w:rsidRPr="0038473D">
        <w:rPr>
          <w:lang w:val="en-AU"/>
        </w:rPr>
        <w:t xml:space="preserve"> </w:t>
      </w:r>
      <w:r w:rsidR="00A93BA8" w:rsidRPr="006F4023">
        <w:rPr>
          <w:lang w:val="en-AU"/>
        </w:rPr>
        <w:t xml:space="preserve">Selection of </w:t>
      </w:r>
      <w:r w:rsidR="00E93B61" w:rsidRPr="006F4023">
        <w:rPr>
          <w:lang w:val="en-AU"/>
        </w:rPr>
        <w:t xml:space="preserve">modelling approach can be limited by data </w:t>
      </w:r>
      <w:r w:rsidR="00A93BA8" w:rsidRPr="006F4023">
        <w:rPr>
          <w:lang w:val="en-AU"/>
        </w:rPr>
        <w:t>availability</w:t>
      </w:r>
      <w:r w:rsidR="00E93B61" w:rsidRPr="006F4023">
        <w:rPr>
          <w:lang w:val="en-AU"/>
        </w:rPr>
        <w:t xml:space="preserve"> </w:t>
      </w:r>
      <w:r w:rsidR="00F12D84" w:rsidRPr="006F4023">
        <w:rPr>
          <w:lang w:val="en-AU"/>
        </w:rPr>
        <w:t>and</w:t>
      </w:r>
      <w:r w:rsidR="00E93B61" w:rsidRPr="006F4023">
        <w:rPr>
          <w:lang w:val="en-AU"/>
        </w:rPr>
        <w:t xml:space="preserve"> the ability to extrapolate properties from smaller scale tests to larger regions of interest</w:t>
      </w:r>
      <w:r w:rsidR="00F12D84" w:rsidRPr="006F4023">
        <w:rPr>
          <w:lang w:val="en-AU"/>
        </w:rPr>
        <w:t>.</w:t>
      </w:r>
    </w:p>
    <w:p w14:paraId="3FF51C5F" w14:textId="43E29BEB" w:rsidR="00EB32C7" w:rsidRPr="006F4023" w:rsidRDefault="005B18C5" w:rsidP="00EB32C7">
      <w:pPr>
        <w:pStyle w:val="BodyText"/>
        <w:rPr>
          <w:lang w:val="en-AU"/>
        </w:rPr>
      </w:pPr>
      <w:r w:rsidRPr="006F4023">
        <w:rPr>
          <w:lang w:val="en-AU"/>
        </w:rPr>
        <w:t xml:space="preserve">In </w:t>
      </w:r>
      <w:r w:rsidR="00FE7B88" w:rsidRPr="006F4023">
        <w:rPr>
          <w:lang w:val="en-AU"/>
        </w:rPr>
        <w:t>the</w:t>
      </w:r>
      <w:r w:rsidRPr="006F4023">
        <w:rPr>
          <w:lang w:val="en-AU"/>
        </w:rPr>
        <w:t xml:space="preserve"> context of modelling to support impact risk assessments, t</w:t>
      </w:r>
      <w:r w:rsidR="003A6FD7" w:rsidRPr="006F4023">
        <w:rPr>
          <w:lang w:val="en-AU"/>
        </w:rPr>
        <w:t>he overriding consideration</w:t>
      </w:r>
      <w:r w:rsidR="00EA2215" w:rsidRPr="006F4023">
        <w:rPr>
          <w:lang w:val="en-AU"/>
        </w:rPr>
        <w:t xml:space="preserve"> </w:t>
      </w:r>
      <w:r w:rsidRPr="006F4023">
        <w:rPr>
          <w:lang w:val="en-AU"/>
        </w:rPr>
        <w:t xml:space="preserve">in the model design and development </w:t>
      </w:r>
      <w:r w:rsidR="00EA2215" w:rsidRPr="006F4023">
        <w:rPr>
          <w:lang w:val="en-AU"/>
        </w:rPr>
        <w:t xml:space="preserve">must be </w:t>
      </w:r>
      <w:r w:rsidR="003A6FD7" w:rsidRPr="006F4023">
        <w:rPr>
          <w:lang w:val="en-AU"/>
        </w:rPr>
        <w:t xml:space="preserve">that the model </w:t>
      </w:r>
      <w:proofErr w:type="gramStart"/>
      <w:r w:rsidR="003A6FD7" w:rsidRPr="006F4023">
        <w:rPr>
          <w:lang w:val="en-AU"/>
        </w:rPr>
        <w:t>is capable of supporting</w:t>
      </w:r>
      <w:proofErr w:type="gramEnd"/>
      <w:r w:rsidR="003A6FD7" w:rsidRPr="006F4023">
        <w:rPr>
          <w:lang w:val="en-AU"/>
        </w:rPr>
        <w:t xml:space="preserve"> the quantification of </w:t>
      </w:r>
      <w:r w:rsidR="00EA2215" w:rsidRPr="006F4023">
        <w:rPr>
          <w:lang w:val="en-AU"/>
        </w:rPr>
        <w:t>risk</w:t>
      </w:r>
      <w:r w:rsidR="003A6FD7" w:rsidRPr="006F4023">
        <w:rPr>
          <w:lang w:val="en-AU"/>
        </w:rPr>
        <w:t xml:space="preserve"> </w:t>
      </w:r>
      <w:r w:rsidR="00EA2215" w:rsidRPr="006F4023">
        <w:rPr>
          <w:lang w:val="en-AU"/>
        </w:rPr>
        <w:t>associated with the fault.  This then ensures that</w:t>
      </w:r>
      <w:r w:rsidR="003A6FD7" w:rsidRPr="006F4023">
        <w:rPr>
          <w:lang w:val="en-AU"/>
        </w:rPr>
        <w:t xml:space="preserve"> the assessment of risk</w:t>
      </w:r>
      <w:r w:rsidR="0047354B" w:rsidRPr="006F4023">
        <w:rPr>
          <w:lang w:val="en-AU"/>
        </w:rPr>
        <w:t xml:space="preserve"> posed</w:t>
      </w:r>
      <w:r w:rsidR="003A6FD7" w:rsidRPr="006F4023">
        <w:rPr>
          <w:lang w:val="en-AU"/>
        </w:rPr>
        <w:t xml:space="preserve"> to groundwater assets and GDE’s </w:t>
      </w:r>
      <w:r w:rsidR="00EA2215" w:rsidRPr="006F4023">
        <w:rPr>
          <w:lang w:val="en-AU"/>
        </w:rPr>
        <w:t>is possible</w:t>
      </w:r>
      <w:r w:rsidR="00FE7B88" w:rsidRPr="006F4023">
        <w:rPr>
          <w:lang w:val="en-AU"/>
        </w:rPr>
        <w:t>, and that the modelling meets its objectives</w:t>
      </w:r>
      <w:r w:rsidR="003A6FD7" w:rsidRPr="006F4023">
        <w:rPr>
          <w:lang w:val="en-AU"/>
        </w:rPr>
        <w:t>.</w:t>
      </w:r>
      <w:r w:rsidR="00E8533E" w:rsidRPr="006F4023">
        <w:rPr>
          <w:lang w:val="en-AU"/>
        </w:rPr>
        <w:t xml:space="preserve">  </w:t>
      </w:r>
      <w:r w:rsidR="00EB32C7" w:rsidRPr="006F4023">
        <w:rPr>
          <w:lang w:val="en-AU"/>
        </w:rPr>
        <w:t>M</w:t>
      </w:r>
      <w:r w:rsidR="00E8533E" w:rsidRPr="006F4023">
        <w:rPr>
          <w:lang w:val="en-AU"/>
        </w:rPr>
        <w:t>ultiple models may be needed to assess different risks</w:t>
      </w:r>
      <w:r w:rsidR="00EB32C7" w:rsidRPr="006F4023">
        <w:rPr>
          <w:lang w:val="en-AU"/>
        </w:rPr>
        <w:t xml:space="preserve"> (</w:t>
      </w:r>
      <w:r w:rsidR="00E812FF" w:rsidRPr="006F4023">
        <w:rPr>
          <w:lang w:val="en-AU"/>
        </w:rPr>
        <w:t>D</w:t>
      </w:r>
      <w:r w:rsidR="00EB32C7" w:rsidRPr="006F4023">
        <w:rPr>
          <w:lang w:val="en-AU"/>
        </w:rPr>
        <w:t>oherty</w:t>
      </w:r>
      <w:r w:rsidR="003575EC" w:rsidRPr="006F4023">
        <w:rPr>
          <w:lang w:val="en-AU"/>
        </w:rPr>
        <w:t xml:space="preserve"> </w:t>
      </w:r>
      <w:r w:rsidR="00411DC6" w:rsidRPr="006F4023">
        <w:rPr>
          <w:lang w:val="en-AU"/>
        </w:rPr>
        <w:t xml:space="preserve">2015; Doherty and </w:t>
      </w:r>
      <w:r w:rsidR="00411DC6" w:rsidRPr="006F4023">
        <w:rPr>
          <w:lang w:val="en-AU"/>
        </w:rPr>
        <w:lastRenderedPageBreak/>
        <w:t>Moore 2020)</w:t>
      </w:r>
      <w:r w:rsidR="00E8533E" w:rsidRPr="006F4023">
        <w:rPr>
          <w:lang w:val="en-AU"/>
        </w:rPr>
        <w:t>.</w:t>
      </w:r>
      <w:r w:rsidR="00EB32C7" w:rsidRPr="006F4023">
        <w:rPr>
          <w:lang w:val="en-AU"/>
        </w:rPr>
        <w:t xml:space="preserve">  Cook (2013) also notes that the model design adopted should be prediction specific, and grouped prediction types based on three key factors: </w:t>
      </w:r>
    </w:p>
    <w:p w14:paraId="394E2F78" w14:textId="43852B0A" w:rsidR="00EB32C7" w:rsidRPr="006F4023" w:rsidRDefault="00EB32C7" w:rsidP="00523649">
      <w:pPr>
        <w:pStyle w:val="BodyText"/>
        <w:numPr>
          <w:ilvl w:val="0"/>
          <w:numId w:val="26"/>
        </w:numPr>
        <w:rPr>
          <w:lang w:val="en-AU"/>
        </w:rPr>
      </w:pPr>
      <w:r w:rsidRPr="006F4023">
        <w:rPr>
          <w:lang w:val="en-AU"/>
        </w:rPr>
        <w:t xml:space="preserve">whether the study is concerned with bulk hydraulic (flow) or solute </w:t>
      </w:r>
      <w:proofErr w:type="gramStart"/>
      <w:r w:rsidRPr="006F4023">
        <w:rPr>
          <w:lang w:val="en-AU"/>
        </w:rPr>
        <w:t>transport</w:t>
      </w:r>
      <w:r w:rsidR="00A44E58" w:rsidRPr="006F4023">
        <w:rPr>
          <w:lang w:val="en-AU"/>
        </w:rPr>
        <w:t>;</w:t>
      </w:r>
      <w:proofErr w:type="gramEnd"/>
      <w:r w:rsidRPr="006F4023">
        <w:rPr>
          <w:lang w:val="en-AU"/>
        </w:rPr>
        <w:t xml:space="preserve"> </w:t>
      </w:r>
    </w:p>
    <w:p w14:paraId="077FE8F6" w14:textId="77E81E10" w:rsidR="00EB32C7" w:rsidRPr="006F4023" w:rsidRDefault="00EB32C7" w:rsidP="00523649">
      <w:pPr>
        <w:pStyle w:val="BodyText"/>
        <w:numPr>
          <w:ilvl w:val="0"/>
          <w:numId w:val="26"/>
        </w:numPr>
        <w:rPr>
          <w:lang w:val="en-AU"/>
        </w:rPr>
      </w:pPr>
      <w:r w:rsidRPr="006F4023">
        <w:rPr>
          <w:lang w:val="en-AU"/>
        </w:rPr>
        <w:t>the steady-state or transient nature of the problem</w:t>
      </w:r>
      <w:r w:rsidR="00A44E58" w:rsidRPr="006F4023">
        <w:rPr>
          <w:lang w:val="en-AU"/>
        </w:rPr>
        <w:t>;</w:t>
      </w:r>
      <w:r w:rsidRPr="006F4023">
        <w:rPr>
          <w:lang w:val="en-AU"/>
        </w:rPr>
        <w:t xml:space="preserve"> and </w:t>
      </w:r>
    </w:p>
    <w:p w14:paraId="5118DB17" w14:textId="77777777" w:rsidR="00EB32C7" w:rsidRPr="006F4023" w:rsidRDefault="00EB32C7" w:rsidP="00523649">
      <w:pPr>
        <w:pStyle w:val="BodyText"/>
        <w:numPr>
          <w:ilvl w:val="0"/>
          <w:numId w:val="26"/>
        </w:numPr>
        <w:rPr>
          <w:lang w:val="en-AU"/>
        </w:rPr>
      </w:pPr>
      <w:r w:rsidRPr="006F4023">
        <w:rPr>
          <w:lang w:val="en-AU"/>
        </w:rPr>
        <w:t xml:space="preserve">the scale of </w:t>
      </w:r>
      <w:r w:rsidR="00610A17" w:rsidRPr="006F4023">
        <w:rPr>
          <w:lang w:val="en-AU"/>
        </w:rPr>
        <w:t xml:space="preserve">the prediction of </w:t>
      </w:r>
      <w:r w:rsidRPr="006F4023">
        <w:rPr>
          <w:lang w:val="en-AU"/>
        </w:rPr>
        <w:t>interest (near-well, local or regional).</w:t>
      </w:r>
    </w:p>
    <w:p w14:paraId="4199E443" w14:textId="0FA716AF" w:rsidR="00EB32C7" w:rsidRPr="006F4023" w:rsidRDefault="00F50728" w:rsidP="001123A2">
      <w:pPr>
        <w:pStyle w:val="BodyText"/>
        <w:rPr>
          <w:lang w:val="en-AU"/>
        </w:rPr>
      </w:pPr>
      <w:r w:rsidRPr="0057638C">
        <w:rPr>
          <w:lang w:val="en-AU"/>
        </w:rPr>
        <w:fldChar w:fldCharType="begin"/>
      </w:r>
      <w:r w:rsidRPr="006F4023">
        <w:rPr>
          <w:lang w:val="en-AU"/>
        </w:rPr>
        <w:instrText xml:space="preserve"> REF _Ref57021776 \h </w:instrText>
      </w:r>
      <w:r w:rsidRPr="0057638C">
        <w:rPr>
          <w:lang w:val="en-AU"/>
        </w:rPr>
      </w:r>
      <w:r w:rsidRPr="0057638C">
        <w:rPr>
          <w:lang w:val="en-AU"/>
        </w:rPr>
        <w:fldChar w:fldCharType="separate"/>
      </w:r>
      <w:r w:rsidR="00047351" w:rsidRPr="006F4023">
        <w:t xml:space="preserve">Figure </w:t>
      </w:r>
      <w:r w:rsidR="00047351">
        <w:rPr>
          <w:noProof/>
        </w:rPr>
        <w:t>3</w:t>
      </w:r>
      <w:r w:rsidRPr="0057638C">
        <w:rPr>
          <w:lang w:val="en-AU"/>
        </w:rPr>
        <w:fldChar w:fldCharType="end"/>
      </w:r>
      <w:r w:rsidR="00A575DA" w:rsidRPr="006F4023">
        <w:rPr>
          <w:lang w:val="en-AU"/>
        </w:rPr>
        <w:t xml:space="preserve"> presents the length scale of </w:t>
      </w:r>
      <w:r w:rsidR="00D605CC" w:rsidRPr="0038473D">
        <w:rPr>
          <w:lang w:val="en-AU"/>
        </w:rPr>
        <w:t>various</w:t>
      </w:r>
      <w:r w:rsidR="00A575DA" w:rsidRPr="0038473D">
        <w:rPr>
          <w:lang w:val="en-AU"/>
        </w:rPr>
        <w:t xml:space="preserve"> </w:t>
      </w:r>
      <w:r w:rsidR="00610A17" w:rsidRPr="006F4023">
        <w:rPr>
          <w:lang w:val="en-AU"/>
        </w:rPr>
        <w:t xml:space="preserve">field </w:t>
      </w:r>
      <w:r w:rsidR="005D675A" w:rsidRPr="006F4023">
        <w:rPr>
          <w:lang w:val="en-AU"/>
        </w:rPr>
        <w:t xml:space="preserve">investigation </w:t>
      </w:r>
      <w:r w:rsidR="00A575DA" w:rsidRPr="006F4023">
        <w:rPr>
          <w:lang w:val="en-AU"/>
        </w:rPr>
        <w:t xml:space="preserve">methods. </w:t>
      </w:r>
      <w:r w:rsidR="00255CF0" w:rsidRPr="006F4023">
        <w:rPr>
          <w:lang w:val="en-AU"/>
        </w:rPr>
        <w:t>The</w:t>
      </w:r>
      <w:r w:rsidR="00610A17" w:rsidRPr="006F4023">
        <w:rPr>
          <w:lang w:val="en-AU"/>
        </w:rPr>
        <w:t xml:space="preserve"> scale </w:t>
      </w:r>
      <w:r w:rsidR="001123A2" w:rsidRPr="006F4023">
        <w:rPr>
          <w:lang w:val="en-AU"/>
        </w:rPr>
        <w:t xml:space="preserve">that </w:t>
      </w:r>
      <w:r w:rsidR="00610A17" w:rsidRPr="006F4023">
        <w:rPr>
          <w:lang w:val="en-AU"/>
        </w:rPr>
        <w:t>field data</w:t>
      </w:r>
      <w:r w:rsidR="001123A2" w:rsidRPr="006F4023">
        <w:rPr>
          <w:lang w:val="en-AU"/>
        </w:rPr>
        <w:t xml:space="preserve"> represents</w:t>
      </w:r>
      <w:r w:rsidR="00610A17" w:rsidRPr="006F4023">
        <w:rPr>
          <w:lang w:val="en-AU"/>
        </w:rPr>
        <w:t xml:space="preserve"> must also be considered when designing the model.  </w:t>
      </w:r>
      <w:r w:rsidR="00A575DA" w:rsidRPr="006F4023">
        <w:rPr>
          <w:lang w:val="en-AU"/>
        </w:rPr>
        <w:t>T</w:t>
      </w:r>
      <w:r w:rsidR="00610A17" w:rsidRPr="006F4023">
        <w:rPr>
          <w:lang w:val="en-AU"/>
        </w:rPr>
        <w:t xml:space="preserve">he model </w:t>
      </w:r>
      <w:r w:rsidR="00A575DA" w:rsidRPr="006F4023">
        <w:rPr>
          <w:lang w:val="en-AU"/>
        </w:rPr>
        <w:t xml:space="preserve">should be designed </w:t>
      </w:r>
      <w:r w:rsidR="00610A17" w:rsidRPr="006F4023">
        <w:rPr>
          <w:lang w:val="en-AU"/>
        </w:rPr>
        <w:t>to extract</w:t>
      </w:r>
      <w:r w:rsidR="00567A84" w:rsidRPr="006F4023">
        <w:rPr>
          <w:lang w:val="en-AU"/>
        </w:rPr>
        <w:t xml:space="preserve"> optimum</w:t>
      </w:r>
      <w:r w:rsidR="00610A17" w:rsidRPr="006F4023">
        <w:rPr>
          <w:lang w:val="en-AU"/>
        </w:rPr>
        <w:t xml:space="preserve"> information from available data</w:t>
      </w:r>
      <w:r w:rsidR="00A575DA" w:rsidRPr="006F4023">
        <w:rPr>
          <w:lang w:val="en-AU"/>
        </w:rPr>
        <w:t xml:space="preserve">, and to use the information to </w:t>
      </w:r>
      <w:r w:rsidR="00610A17" w:rsidRPr="006F4023">
        <w:rPr>
          <w:lang w:val="en-AU"/>
        </w:rPr>
        <w:t>constrain estimation of parameter values</w:t>
      </w:r>
      <w:r w:rsidR="00A575DA" w:rsidRPr="006F4023">
        <w:rPr>
          <w:lang w:val="en-AU"/>
        </w:rPr>
        <w:t>. However</w:t>
      </w:r>
      <w:r w:rsidR="00610A17" w:rsidRPr="006F4023">
        <w:rPr>
          <w:lang w:val="en-AU"/>
        </w:rPr>
        <w:t>, data may have been collected at very different scale</w:t>
      </w:r>
      <w:r w:rsidR="00A575DA" w:rsidRPr="006F4023">
        <w:rPr>
          <w:lang w:val="en-AU"/>
        </w:rPr>
        <w:t>s</w:t>
      </w:r>
      <w:r w:rsidR="00610A17" w:rsidRPr="006F4023">
        <w:rPr>
          <w:lang w:val="en-AU"/>
        </w:rPr>
        <w:t xml:space="preserve"> to the prediction of interest</w:t>
      </w:r>
      <w:r w:rsidR="00A575DA" w:rsidRPr="006F4023">
        <w:rPr>
          <w:lang w:val="en-AU"/>
        </w:rPr>
        <w:t>, and t</w:t>
      </w:r>
      <w:r w:rsidR="001123A2" w:rsidRPr="006F4023">
        <w:rPr>
          <w:lang w:val="en-AU"/>
        </w:rPr>
        <w:t xml:space="preserve">hese scale differences may </w:t>
      </w:r>
      <w:r w:rsidR="00A575DA" w:rsidRPr="006F4023">
        <w:rPr>
          <w:lang w:val="en-AU"/>
        </w:rPr>
        <w:t xml:space="preserve">cause </w:t>
      </w:r>
      <w:r w:rsidR="001123A2" w:rsidRPr="006F4023">
        <w:rPr>
          <w:lang w:val="en-AU"/>
        </w:rPr>
        <w:t xml:space="preserve">significant </w:t>
      </w:r>
      <w:r w:rsidR="00A575DA" w:rsidRPr="006F4023">
        <w:rPr>
          <w:lang w:val="en-AU"/>
        </w:rPr>
        <w:t>disparities</w:t>
      </w:r>
      <w:r w:rsidR="00A575DA" w:rsidRPr="006F4023" w:rsidDel="00A575DA">
        <w:rPr>
          <w:lang w:val="en-AU"/>
        </w:rPr>
        <w:t xml:space="preserve"> </w:t>
      </w:r>
      <w:r w:rsidR="001123A2" w:rsidRPr="006F4023">
        <w:rPr>
          <w:lang w:val="en-AU"/>
        </w:rPr>
        <w:t xml:space="preserve">between </w:t>
      </w:r>
      <w:r w:rsidR="00A575DA" w:rsidRPr="006F4023">
        <w:rPr>
          <w:lang w:val="en-AU"/>
        </w:rPr>
        <w:t xml:space="preserve">modelled and </w:t>
      </w:r>
      <w:r w:rsidR="001123A2" w:rsidRPr="006F4023">
        <w:rPr>
          <w:lang w:val="en-AU"/>
        </w:rPr>
        <w:t>observ</w:t>
      </w:r>
      <w:r w:rsidR="00A575DA" w:rsidRPr="006F4023">
        <w:rPr>
          <w:lang w:val="en-AU"/>
        </w:rPr>
        <w:t>ed</w:t>
      </w:r>
      <w:r w:rsidR="001123A2" w:rsidRPr="006F4023">
        <w:rPr>
          <w:lang w:val="en-AU"/>
        </w:rPr>
        <w:t xml:space="preserve"> water levels and flows.  </w:t>
      </w:r>
      <w:r w:rsidR="00A575DA" w:rsidRPr="006F4023">
        <w:rPr>
          <w:lang w:val="en-AU"/>
        </w:rPr>
        <w:t>F</w:t>
      </w:r>
      <w:r w:rsidR="001123A2" w:rsidRPr="006F4023">
        <w:rPr>
          <w:lang w:val="en-AU"/>
        </w:rPr>
        <w:t xml:space="preserve">ield </w:t>
      </w:r>
      <w:r w:rsidR="00A575DA" w:rsidRPr="006F4023">
        <w:rPr>
          <w:lang w:val="en-AU"/>
        </w:rPr>
        <w:t>and model</w:t>
      </w:r>
      <w:r w:rsidR="001123A2" w:rsidRPr="006F4023">
        <w:rPr>
          <w:lang w:val="en-AU"/>
        </w:rPr>
        <w:t xml:space="preserve"> estimates of parameter values</w:t>
      </w:r>
      <w:r w:rsidR="00A575DA" w:rsidRPr="006F4023">
        <w:rPr>
          <w:lang w:val="en-AU"/>
        </w:rPr>
        <w:t xml:space="preserve"> may be found to be different. OGIA (2019) present field data scales and parameter estimates compared to modelled values for the Surat Cumulative Management Area </w:t>
      </w:r>
      <w:r w:rsidR="005D675A" w:rsidRPr="006F4023">
        <w:rPr>
          <w:lang w:val="en-AU"/>
        </w:rPr>
        <w:t xml:space="preserve">illustrating that </w:t>
      </w:r>
      <w:r w:rsidR="00567A84" w:rsidRPr="006F4023">
        <w:rPr>
          <w:lang w:val="en-AU"/>
        </w:rPr>
        <w:t>small-</w:t>
      </w:r>
      <w:r w:rsidR="005D675A" w:rsidRPr="006F4023">
        <w:rPr>
          <w:lang w:val="en-AU"/>
        </w:rPr>
        <w:t>scale data, such as individual core plug permeabil</w:t>
      </w:r>
      <w:r w:rsidR="00235163" w:rsidRPr="006F4023">
        <w:rPr>
          <w:lang w:val="en-AU"/>
        </w:rPr>
        <w:t>i</w:t>
      </w:r>
      <w:r w:rsidR="005D675A" w:rsidRPr="006F4023">
        <w:rPr>
          <w:lang w:val="en-AU"/>
        </w:rPr>
        <w:t>t</w:t>
      </w:r>
      <w:r w:rsidR="004613FC" w:rsidRPr="006F4023">
        <w:rPr>
          <w:lang w:val="en-AU"/>
        </w:rPr>
        <w:t>y</w:t>
      </w:r>
      <w:r w:rsidR="005D675A" w:rsidRPr="006F4023">
        <w:rPr>
          <w:lang w:val="en-AU"/>
        </w:rPr>
        <w:t>, may differ significantly from history matched values representing much larger volumes of rock</w:t>
      </w:r>
      <w:r w:rsidR="001123A2" w:rsidRPr="006F4023">
        <w:rPr>
          <w:lang w:val="en-AU"/>
        </w:rPr>
        <w:t>.</w:t>
      </w:r>
    </w:p>
    <w:p w14:paraId="47D6AF30" w14:textId="03752540" w:rsidR="00601DAB" w:rsidRPr="006F4023" w:rsidRDefault="001123A2" w:rsidP="00601DAB">
      <w:pPr>
        <w:pStyle w:val="BodyText"/>
        <w:rPr>
          <w:lang w:val="en-AU"/>
        </w:rPr>
      </w:pPr>
      <w:r w:rsidRPr="006F4023">
        <w:rPr>
          <w:lang w:val="en-AU"/>
        </w:rPr>
        <w:t>Finally, when history matching and assessing the uncertainty of predictions, it is important to establish credible bounds</w:t>
      </w:r>
      <w:r w:rsidR="00AF36CC" w:rsidRPr="006F4023">
        <w:rPr>
          <w:lang w:val="en-AU"/>
        </w:rPr>
        <w:t xml:space="preserve"> on the fault </w:t>
      </w:r>
      <w:proofErr w:type="gramStart"/>
      <w:r w:rsidR="00AF36CC" w:rsidRPr="006F4023">
        <w:rPr>
          <w:lang w:val="en-AU"/>
        </w:rPr>
        <w:t>parameters</w:t>
      </w:r>
      <w:r w:rsidRPr="006F4023">
        <w:rPr>
          <w:lang w:val="en-AU"/>
        </w:rPr>
        <w:t>, and</w:t>
      </w:r>
      <w:proofErr w:type="gramEnd"/>
      <w:r w:rsidRPr="006F4023">
        <w:rPr>
          <w:lang w:val="en-AU"/>
        </w:rPr>
        <w:t xml:space="preserve"> estimate the pre-history matching (prior) distributions of these parameters</w:t>
      </w:r>
      <w:r w:rsidR="00042AE8" w:rsidRPr="006F4023">
        <w:rPr>
          <w:lang w:val="en-AU"/>
        </w:rPr>
        <w:t xml:space="preserve">. </w:t>
      </w:r>
      <w:r w:rsidR="005F5D3D" w:rsidRPr="006F4023">
        <w:rPr>
          <w:lang w:val="en-AU"/>
        </w:rPr>
        <w:t xml:space="preserve"> </w:t>
      </w:r>
      <w:r w:rsidR="00601DAB" w:rsidRPr="006F4023">
        <w:rPr>
          <w:lang w:val="en-AU"/>
        </w:rPr>
        <w:t xml:space="preserve">These parameter assessments provide the basis of the estimated modelled parameter values and their distributions which underpin uncertainty quantification and risk assessments. </w:t>
      </w:r>
    </w:p>
    <w:p w14:paraId="120B9DE8" w14:textId="3EBE6FB4" w:rsidR="00610A17" w:rsidRPr="006F4023" w:rsidRDefault="00610A17" w:rsidP="00610A17">
      <w:pPr>
        <w:pStyle w:val="BodyText"/>
        <w:rPr>
          <w:lang w:val="en-AU"/>
        </w:rPr>
      </w:pPr>
      <w:r w:rsidRPr="006F4023">
        <w:rPr>
          <w:lang w:val="en-AU"/>
        </w:rPr>
        <w:t>The following sections describe the methods currently used in groundwater modelling practice to</w:t>
      </w:r>
      <w:r w:rsidR="000E536B" w:rsidRPr="006F4023">
        <w:rPr>
          <w:lang w:val="en-AU"/>
        </w:rPr>
        <w:t xml:space="preserve"> </w:t>
      </w:r>
      <w:r w:rsidR="00567A84" w:rsidRPr="006F4023">
        <w:rPr>
          <w:lang w:val="en-AU"/>
        </w:rPr>
        <w:t xml:space="preserve">parameterise </w:t>
      </w:r>
      <w:r w:rsidR="000E536B" w:rsidRPr="006F4023">
        <w:rPr>
          <w:lang w:val="en-AU"/>
        </w:rPr>
        <w:t>and</w:t>
      </w:r>
      <w:r w:rsidRPr="006F4023">
        <w:rPr>
          <w:lang w:val="en-AU"/>
        </w:rPr>
        <w:t xml:space="preserve"> represent faults, and outlines the pros and cons associated with them. Because the representation of faults in groundwater models is an area of active research, these methods are evolving.  Therefore, the modelling methods described briefly in the following sections, represent the current state of modelling of groundwater flow systems with faults</w:t>
      </w:r>
      <w:r w:rsidR="00125F91" w:rsidRPr="006F4023">
        <w:rPr>
          <w:lang w:val="en-AU"/>
        </w:rPr>
        <w:t xml:space="preserve"> and it is also possible that alternative approaches may be developed</w:t>
      </w:r>
      <w:r w:rsidRPr="006F4023">
        <w:rPr>
          <w:lang w:val="en-AU"/>
        </w:rPr>
        <w:t xml:space="preserve">.  </w:t>
      </w:r>
    </w:p>
    <w:p w14:paraId="62B57C1C" w14:textId="46C3D305" w:rsidR="009761F9" w:rsidRPr="006F4023" w:rsidRDefault="009761F9" w:rsidP="007E2D6E">
      <w:pPr>
        <w:pStyle w:val="Heading2Numbered"/>
      </w:pPr>
      <w:bookmarkStart w:id="397" w:name="_Toc66967201"/>
      <w:r w:rsidRPr="006F4023">
        <w:t xml:space="preserve">Deriving prior estimates of fault </w:t>
      </w:r>
      <w:r w:rsidR="00837884">
        <w:t xml:space="preserve">and fracture </w:t>
      </w:r>
      <w:r w:rsidRPr="006F4023">
        <w:t>parameters</w:t>
      </w:r>
      <w:bookmarkEnd w:id="397"/>
      <w:r w:rsidRPr="006F4023">
        <w:t xml:space="preserve"> </w:t>
      </w:r>
    </w:p>
    <w:p w14:paraId="67672C2A" w14:textId="42FF76E5" w:rsidR="00396FAB" w:rsidRPr="006F4023" w:rsidRDefault="00601DAB" w:rsidP="00396FAB">
      <w:pPr>
        <w:pStyle w:val="BodyText"/>
        <w:rPr>
          <w:lang w:val="en-AU"/>
        </w:rPr>
      </w:pPr>
      <w:r w:rsidRPr="006F4023">
        <w:rPr>
          <w:lang w:val="en-AU"/>
        </w:rPr>
        <w:t>Modelled fault parameters are based on identifying and quantifying uncertainties in the fault geometry, fault properties (such as damage zone and core zone thicknesses), and in the aquitard and aquifer thicknesses and flow properties (for example, see Cook 2003, Mc</w:t>
      </w:r>
      <w:r w:rsidR="0076797C" w:rsidRPr="006F4023">
        <w:rPr>
          <w:lang w:val="en-AU"/>
        </w:rPr>
        <w:t>C</w:t>
      </w:r>
      <w:r w:rsidRPr="006F4023">
        <w:rPr>
          <w:lang w:val="en-AU"/>
        </w:rPr>
        <w:t xml:space="preserve">allum et al. 2018). These fault properties are then translated to </w:t>
      </w:r>
      <w:r w:rsidR="003544DD" w:rsidRPr="006F4023">
        <w:rPr>
          <w:lang w:val="en-AU"/>
        </w:rPr>
        <w:t xml:space="preserve">either </w:t>
      </w:r>
      <w:r w:rsidRPr="006F4023">
        <w:rPr>
          <w:lang w:val="en-AU"/>
        </w:rPr>
        <w:t xml:space="preserve">equivalent porous media parameters of permeability and porosity, or </w:t>
      </w:r>
      <w:r w:rsidR="003544DD" w:rsidRPr="006F4023">
        <w:rPr>
          <w:lang w:val="en-AU"/>
        </w:rPr>
        <w:t xml:space="preserve">to </w:t>
      </w:r>
      <w:r w:rsidR="00290FEA" w:rsidRPr="006F4023">
        <w:rPr>
          <w:lang w:val="en-AU"/>
        </w:rPr>
        <w:t xml:space="preserve">discrete </w:t>
      </w:r>
      <w:r w:rsidR="003544DD" w:rsidRPr="006F4023">
        <w:rPr>
          <w:lang w:val="en-AU"/>
        </w:rPr>
        <w:t xml:space="preserve">fracture flow </w:t>
      </w:r>
      <w:r w:rsidR="00290FEA" w:rsidRPr="006F4023">
        <w:rPr>
          <w:lang w:val="en-AU"/>
        </w:rPr>
        <w:t>parameters which describe f</w:t>
      </w:r>
      <w:r w:rsidR="003544DD" w:rsidRPr="006F4023">
        <w:rPr>
          <w:lang w:val="en-AU"/>
        </w:rPr>
        <w:t>low through a connected pipe network</w:t>
      </w:r>
      <w:r w:rsidR="00290FEA" w:rsidRPr="006F4023">
        <w:rPr>
          <w:lang w:val="en-AU"/>
        </w:rPr>
        <w:t xml:space="preserve">, or to implicit parameter representations of </w:t>
      </w:r>
      <w:r w:rsidR="00AD6CBA" w:rsidRPr="006F4023">
        <w:rPr>
          <w:lang w:val="en-AU"/>
        </w:rPr>
        <w:t>f</w:t>
      </w:r>
      <w:r w:rsidR="00290FEA" w:rsidRPr="006F4023">
        <w:rPr>
          <w:lang w:val="en-AU"/>
        </w:rPr>
        <w:t>racture flow</w:t>
      </w:r>
      <w:r w:rsidR="00AD6CBA" w:rsidRPr="006F4023">
        <w:rPr>
          <w:lang w:val="en-AU"/>
        </w:rPr>
        <w:t xml:space="preserve"> in combination with flow through an equivalent porous media matrix</w:t>
      </w:r>
      <w:r w:rsidRPr="006F4023">
        <w:rPr>
          <w:lang w:val="en-AU"/>
        </w:rPr>
        <w:t xml:space="preserve">.  </w:t>
      </w:r>
    </w:p>
    <w:p w14:paraId="7C1639F8" w14:textId="6420EC39" w:rsidR="00396FAB" w:rsidRPr="006F4023" w:rsidRDefault="00396FAB" w:rsidP="00396FAB">
      <w:pPr>
        <w:pStyle w:val="BodyText"/>
        <w:rPr>
          <w:lang w:val="en-AU"/>
        </w:rPr>
      </w:pPr>
      <w:r w:rsidRPr="006F4023">
        <w:rPr>
          <w:lang w:val="en-AU"/>
        </w:rPr>
        <w:t xml:space="preserve">Parameter values can be estimated </w:t>
      </w:r>
      <w:proofErr w:type="gramStart"/>
      <w:r w:rsidRPr="006F4023">
        <w:rPr>
          <w:lang w:val="en-AU"/>
        </w:rPr>
        <w:t>on the basis of</w:t>
      </w:r>
      <w:proofErr w:type="gramEnd"/>
      <w:r w:rsidRPr="006F4023">
        <w:rPr>
          <w:lang w:val="en-AU"/>
        </w:rPr>
        <w:t xml:space="preserve"> history matching </w:t>
      </w:r>
      <w:r w:rsidR="002762D8" w:rsidRPr="006F4023">
        <w:rPr>
          <w:lang w:val="en-AU"/>
        </w:rPr>
        <w:t>to field data</w:t>
      </w:r>
      <w:r w:rsidR="00567A84" w:rsidRPr="006F4023">
        <w:rPr>
          <w:lang w:val="en-AU"/>
        </w:rPr>
        <w:t>,</w:t>
      </w:r>
      <w:r w:rsidR="002762D8" w:rsidRPr="006F4023">
        <w:rPr>
          <w:lang w:val="en-AU"/>
        </w:rPr>
        <w:t xml:space="preserve"> </w:t>
      </w:r>
      <w:r w:rsidRPr="006F4023">
        <w:rPr>
          <w:lang w:val="en-AU"/>
        </w:rPr>
        <w:t xml:space="preserve">using models that simulate flow through a fault core and fault damage zones or fractured aquitards. These models can be based on equivalent porous media, dual </w:t>
      </w:r>
      <w:proofErr w:type="gramStart"/>
      <w:r w:rsidRPr="006F4023">
        <w:rPr>
          <w:lang w:val="en-AU"/>
        </w:rPr>
        <w:t>porosity</w:t>
      </w:r>
      <w:proofErr w:type="gramEnd"/>
      <w:r w:rsidRPr="006F4023">
        <w:rPr>
          <w:lang w:val="en-AU"/>
        </w:rPr>
        <w:t xml:space="preserve"> and discrete fracture network approaches as described </w:t>
      </w:r>
      <w:r w:rsidR="002762D8" w:rsidRPr="006F4023">
        <w:rPr>
          <w:lang w:val="en-AU"/>
        </w:rPr>
        <w:t>in the following sections</w:t>
      </w:r>
      <w:r w:rsidRPr="006F4023">
        <w:rPr>
          <w:lang w:val="en-AU"/>
        </w:rPr>
        <w:t>. Parameter estimates can also be supported using analytical approaches.</w:t>
      </w:r>
    </w:p>
    <w:p w14:paraId="7BBAE2D0" w14:textId="5F06DD9F" w:rsidR="002762D8" w:rsidRPr="006F4023" w:rsidRDefault="002762D8" w:rsidP="00396FAB">
      <w:pPr>
        <w:pStyle w:val="BodyText"/>
        <w:rPr>
          <w:lang w:val="en-AU"/>
        </w:rPr>
      </w:pPr>
      <w:r w:rsidRPr="006F4023">
        <w:rPr>
          <w:lang w:val="en-AU"/>
        </w:rPr>
        <w:t xml:space="preserve">For flow through fractured </w:t>
      </w:r>
      <w:proofErr w:type="gramStart"/>
      <w:r w:rsidRPr="006F4023">
        <w:rPr>
          <w:lang w:val="en-AU"/>
        </w:rPr>
        <w:t>media</w:t>
      </w:r>
      <w:proofErr w:type="gramEnd"/>
      <w:r w:rsidRPr="006F4023">
        <w:rPr>
          <w:lang w:val="en-AU"/>
        </w:rPr>
        <w:t xml:space="preserve"> which is represented as an equivalent porous media, bulk fault properties can be estimated based on relationships such as described by </w:t>
      </w:r>
      <w:proofErr w:type="spellStart"/>
      <w:r w:rsidRPr="006F4023">
        <w:rPr>
          <w:lang w:val="en-AU"/>
        </w:rPr>
        <w:t>Bense</w:t>
      </w:r>
      <w:proofErr w:type="spellEnd"/>
      <w:r w:rsidRPr="006F4023">
        <w:rPr>
          <w:lang w:val="en-AU"/>
        </w:rPr>
        <w:t xml:space="preserve"> and Person (2006)</w:t>
      </w:r>
      <w:r w:rsidR="00BF61D6" w:rsidRPr="006F4023">
        <w:rPr>
          <w:lang w:val="en-AU"/>
        </w:rPr>
        <w:t>, and flow can be calculated using Darcy’s law</w:t>
      </w:r>
      <w:r w:rsidRPr="006F4023">
        <w:rPr>
          <w:lang w:val="en-AU"/>
        </w:rPr>
        <w:t xml:space="preserve">. This allows the fault properties to be calculated based on the assumption that they represent an alteration of the host rock, given a fault throw, and fault zone thickness (both a fault core and fault damaged zone) and a fault zone permeability based on integration of the combined damage zone and fault core.  </w:t>
      </w:r>
    </w:p>
    <w:p w14:paraId="4B9C525A" w14:textId="111DEE03" w:rsidR="00396FAB" w:rsidRPr="006F4023" w:rsidRDefault="009B0762" w:rsidP="009761F9">
      <w:pPr>
        <w:pStyle w:val="BodyText"/>
        <w:rPr>
          <w:lang w:val="en-AU"/>
        </w:rPr>
      </w:pPr>
      <w:r w:rsidRPr="006F4023">
        <w:rPr>
          <w:lang w:val="en-AU"/>
        </w:rPr>
        <w:t xml:space="preserve">The Cubic Law </w:t>
      </w:r>
      <w:r w:rsidR="009761F9" w:rsidRPr="006F4023">
        <w:rPr>
          <w:lang w:val="en-AU"/>
        </w:rPr>
        <w:t>is an analytical approach for flow through fractures</w:t>
      </w:r>
      <w:r w:rsidR="00396FAB" w:rsidRPr="0038473D">
        <w:rPr>
          <w:lang w:val="en-AU"/>
        </w:rPr>
        <w:t>, where fracture flow is more analogous to flow through a pipe network (assumes fractures are open and relatively smooth) tha</w:t>
      </w:r>
      <w:r w:rsidR="00396FAB" w:rsidRPr="006F4023">
        <w:rPr>
          <w:lang w:val="en-AU"/>
        </w:rPr>
        <w:t>n it is to flow in a porous medium.</w:t>
      </w:r>
    </w:p>
    <w:p w14:paraId="47102C39" w14:textId="721F3201" w:rsidR="00396FAB" w:rsidRPr="006F4023" w:rsidRDefault="00396FAB" w:rsidP="00396FAB">
      <w:pPr>
        <w:pStyle w:val="BodyText"/>
        <w:rPr>
          <w:lang w:val="en-AU"/>
        </w:rPr>
      </w:pPr>
      <w:r w:rsidRPr="006F4023">
        <w:rPr>
          <w:lang w:val="en-AU"/>
        </w:rPr>
        <w:t xml:space="preserve">An approximation for fracture flow is given by </w:t>
      </w:r>
      <w:r w:rsidR="009B0762" w:rsidRPr="006F4023">
        <w:rPr>
          <w:lang w:val="en-AU"/>
        </w:rPr>
        <w:t>the Cubic</w:t>
      </w:r>
      <w:r w:rsidRPr="006F4023">
        <w:rPr>
          <w:lang w:val="en-AU"/>
        </w:rPr>
        <w:t xml:space="preserve"> Law</w:t>
      </w:r>
      <w:r w:rsidR="009B0762" w:rsidRPr="006F4023">
        <w:rPr>
          <w:lang w:val="en-AU"/>
        </w:rPr>
        <w:t xml:space="preserve">, attributed to </w:t>
      </w:r>
      <w:r w:rsidRPr="006F4023">
        <w:rPr>
          <w:lang w:val="en-AU"/>
        </w:rPr>
        <w:t>Snow</w:t>
      </w:r>
      <w:r w:rsidR="009B0762" w:rsidRPr="006F4023">
        <w:rPr>
          <w:lang w:val="en-AU"/>
        </w:rPr>
        <w:t xml:space="preserve"> (1968)</w:t>
      </w:r>
      <w:r w:rsidR="00A41C25" w:rsidRPr="006F4023">
        <w:rPr>
          <w:lang w:val="en-AU"/>
        </w:rPr>
        <w:t>:</w:t>
      </w:r>
    </w:p>
    <w:p w14:paraId="35965D5A" w14:textId="6FD87CDD" w:rsidR="009B0762" w:rsidRPr="006F4023" w:rsidRDefault="009B0762" w:rsidP="00396FAB">
      <w:pPr>
        <w:pStyle w:val="BodyText"/>
        <w:rPr>
          <w:lang w:val="en-AU"/>
        </w:rPr>
      </w:pPr>
      <m:oMathPara>
        <m:oMath>
          <m:r>
            <w:rPr>
              <w:rFonts w:ascii="Cambria Math" w:hAnsi="Cambria Math"/>
              <w:lang w:val="en-AU"/>
            </w:rPr>
            <w:lastRenderedPageBreak/>
            <m:t>Fracture flow= -</m:t>
          </m:r>
          <m:d>
            <m:dPr>
              <m:ctrlPr>
                <w:rPr>
                  <w:rFonts w:ascii="Cambria Math" w:hAnsi="Cambria Math"/>
                  <w:i/>
                  <w:lang w:val="en-AU"/>
                </w:rPr>
              </m:ctrlPr>
            </m:dPr>
            <m:e>
              <m:f>
                <m:fPr>
                  <m:ctrlPr>
                    <w:rPr>
                      <w:rFonts w:ascii="Cambria Math" w:hAnsi="Cambria Math"/>
                      <w:i/>
                      <w:lang w:val="en-AU"/>
                    </w:rPr>
                  </m:ctrlPr>
                </m:fPr>
                <m:num>
                  <m:r>
                    <w:rPr>
                      <w:rFonts w:ascii="Cambria Math" w:hAnsi="Cambria Math"/>
                      <w:lang w:val="en-AU"/>
                    </w:rPr>
                    <m:t>ρg</m:t>
                  </m:r>
                </m:num>
                <m:den>
                  <m:r>
                    <w:rPr>
                      <w:rFonts w:ascii="Cambria Math" w:hAnsi="Cambria Math"/>
                      <w:lang w:val="en-AU"/>
                    </w:rPr>
                    <m:t>12μ</m:t>
                  </m:r>
                </m:den>
              </m:f>
            </m:e>
          </m:d>
          <m:sSup>
            <m:sSupPr>
              <m:ctrlPr>
                <w:rPr>
                  <w:rFonts w:ascii="Cambria Math" w:eastAsiaTheme="minorEastAsia" w:hAnsi="Cambria Math"/>
                  <w:i/>
                  <w:lang w:val="en-AU"/>
                </w:rPr>
              </m:ctrlPr>
            </m:sSupPr>
            <m:e>
              <m:r>
                <w:rPr>
                  <w:rFonts w:ascii="Cambria Math" w:eastAsiaTheme="minorEastAsia" w:hAnsi="Cambria Math"/>
                  <w:lang w:val="en-AU"/>
                </w:rPr>
                <m:t>Aperture</m:t>
              </m:r>
            </m:e>
            <m:sup>
              <m:r>
                <w:rPr>
                  <w:rFonts w:ascii="Cambria Math" w:eastAsiaTheme="minorEastAsia" w:hAnsi="Cambria Math"/>
                  <w:lang w:val="en-AU"/>
                </w:rPr>
                <m:t>3</m:t>
              </m:r>
            </m:sup>
          </m:sSup>
          <m:r>
            <w:rPr>
              <w:rFonts w:ascii="Cambria Math" w:eastAsiaTheme="minorEastAsia" w:hAnsi="Cambria Math"/>
              <w:lang w:val="en-AU"/>
            </w:rPr>
            <m:t>.∆P.Fracture Height</m:t>
          </m:r>
        </m:oMath>
      </m:oMathPara>
    </w:p>
    <w:p w14:paraId="2FA2C463" w14:textId="01298313" w:rsidR="00396FAB" w:rsidRPr="006F4023" w:rsidRDefault="00396FAB" w:rsidP="00396FAB">
      <w:pPr>
        <w:pStyle w:val="BodyText"/>
        <w:rPr>
          <w:lang w:val="en-AU"/>
        </w:rPr>
      </w:pPr>
      <w:r w:rsidRPr="006F4023">
        <w:rPr>
          <w:lang w:val="en-AU"/>
        </w:rPr>
        <w:t>For a given fluid pressure gradient</w:t>
      </w:r>
      <w:r w:rsidR="00A41C25" w:rsidRPr="006F4023">
        <w:rPr>
          <w:lang w:val="en-AU"/>
        </w:rPr>
        <w:t xml:space="preserve"> </w:t>
      </w:r>
      <w:r w:rsidR="00A41C25" w:rsidRPr="006F4023">
        <w:rPr>
          <w:rFonts w:ascii="Times New Roman" w:hAnsi="Times New Roman" w:cs="Times New Roman"/>
          <w:lang w:val="en-AU"/>
        </w:rPr>
        <w:t>Δ</w:t>
      </w:r>
      <w:r w:rsidR="00A41C25" w:rsidRPr="006F4023">
        <w:rPr>
          <w:lang w:val="en-AU"/>
        </w:rPr>
        <w:t>P</w:t>
      </w:r>
      <w:r w:rsidRPr="006F4023">
        <w:rPr>
          <w:lang w:val="en-AU"/>
        </w:rPr>
        <w:t>,</w:t>
      </w:r>
      <w:r w:rsidR="00A41C25" w:rsidRPr="006F4023">
        <w:rPr>
          <w:lang w:val="en-AU"/>
        </w:rPr>
        <w:t xml:space="preserve"> fluid density </w:t>
      </w:r>
      <w:r w:rsidR="00A41C25" w:rsidRPr="006F4023">
        <w:rPr>
          <w:rFonts w:ascii="Times New Roman" w:hAnsi="Times New Roman" w:cs="Times New Roman"/>
          <w:lang w:val="en-AU"/>
        </w:rPr>
        <w:t>ρ</w:t>
      </w:r>
      <w:r w:rsidR="00A41C25" w:rsidRPr="006F4023">
        <w:rPr>
          <w:lang w:val="en-AU"/>
        </w:rPr>
        <w:t xml:space="preserve">, gravity g, and fluid viscosity μ, the </w:t>
      </w:r>
      <w:r w:rsidRPr="006F4023">
        <w:rPr>
          <w:lang w:val="en-AU"/>
        </w:rPr>
        <w:t xml:space="preserve">flow is controlled by the fracture height and the </w:t>
      </w:r>
      <w:r w:rsidR="00A41C25" w:rsidRPr="006F4023">
        <w:rPr>
          <w:lang w:val="en-AU"/>
        </w:rPr>
        <w:t xml:space="preserve">cube of </w:t>
      </w:r>
      <w:r w:rsidRPr="006F4023">
        <w:rPr>
          <w:lang w:val="en-AU"/>
        </w:rPr>
        <w:t xml:space="preserve">fracture aperture. Depending on the stress state, changes in fluid pressure (injection or recharge) can </w:t>
      </w:r>
      <w:r w:rsidR="00A41C25" w:rsidRPr="006F4023">
        <w:rPr>
          <w:lang w:val="en-AU"/>
        </w:rPr>
        <w:t xml:space="preserve">change </w:t>
      </w:r>
      <w:r w:rsidRPr="006F4023">
        <w:rPr>
          <w:lang w:val="en-AU"/>
        </w:rPr>
        <w:t>the fracture aperture</w:t>
      </w:r>
      <w:r w:rsidR="00A41C25" w:rsidRPr="006F4023">
        <w:rPr>
          <w:lang w:val="en-AU"/>
        </w:rPr>
        <w:t xml:space="preserve">, and due to cubic relationship, </w:t>
      </w:r>
      <w:r w:rsidRPr="006F4023">
        <w:rPr>
          <w:lang w:val="en-AU"/>
        </w:rPr>
        <w:t>the flow rate</w:t>
      </w:r>
      <w:r w:rsidR="00A41C25" w:rsidRPr="006F4023">
        <w:rPr>
          <w:lang w:val="en-AU"/>
        </w:rPr>
        <w:t xml:space="preserve"> may change substantially</w:t>
      </w:r>
      <w:r w:rsidRPr="006F4023">
        <w:rPr>
          <w:lang w:val="en-AU"/>
        </w:rPr>
        <w:t xml:space="preserve">. </w:t>
      </w:r>
    </w:p>
    <w:p w14:paraId="1254C5E9" w14:textId="4E43419A" w:rsidR="00396FAB" w:rsidRPr="006F4023" w:rsidRDefault="00707BE4" w:rsidP="00396FAB">
      <w:pPr>
        <w:pStyle w:val="BodyText"/>
        <w:rPr>
          <w:lang w:val="en-AU"/>
        </w:rPr>
      </w:pPr>
      <w:r w:rsidRPr="006F4023">
        <w:rPr>
          <w:lang w:val="en-AU"/>
        </w:rPr>
        <w:t xml:space="preserve">It is important to </w:t>
      </w:r>
      <w:r w:rsidR="002762D8" w:rsidRPr="006F4023">
        <w:rPr>
          <w:lang w:val="en-AU"/>
        </w:rPr>
        <w:t>recognise</w:t>
      </w:r>
      <w:r w:rsidRPr="006F4023">
        <w:rPr>
          <w:lang w:val="en-AU"/>
        </w:rPr>
        <w:t xml:space="preserve"> that </w:t>
      </w:r>
      <w:r w:rsidR="009B0762" w:rsidRPr="006F4023">
        <w:rPr>
          <w:lang w:val="en-AU"/>
        </w:rPr>
        <w:t xml:space="preserve">the Cubic Law </w:t>
      </w:r>
      <w:r w:rsidRPr="006F4023">
        <w:rPr>
          <w:lang w:val="en-AU"/>
        </w:rPr>
        <w:t xml:space="preserve">is an approximation based on a parallel plate model. Fracture surfaces have irregularities thus the flow is highly tortuous. Nonetheless, the model provides a useful way to calculate, estimate, or understand the flow. </w:t>
      </w:r>
      <w:r w:rsidR="00536332" w:rsidRPr="006F4023">
        <w:rPr>
          <w:lang w:val="en-AU"/>
        </w:rPr>
        <w:t xml:space="preserve">The </w:t>
      </w:r>
      <w:r w:rsidR="009B0762" w:rsidRPr="006F4023">
        <w:rPr>
          <w:lang w:val="en-AU"/>
        </w:rPr>
        <w:t xml:space="preserve">Cubic Law </w:t>
      </w:r>
      <w:r w:rsidR="00396FAB" w:rsidRPr="006F4023">
        <w:rPr>
          <w:lang w:val="en-AU"/>
        </w:rPr>
        <w:t>has been extended to consider lateral continuity of fractures, tortuosity of connected fractures</w:t>
      </w:r>
      <w:r w:rsidR="005C2D49" w:rsidRPr="006F4023">
        <w:rPr>
          <w:lang w:val="en-AU"/>
        </w:rPr>
        <w:t xml:space="preserve"> (</w:t>
      </w:r>
      <w:proofErr w:type="spellStart"/>
      <w:r w:rsidR="005C2D49" w:rsidRPr="006F4023">
        <w:rPr>
          <w:lang w:val="en-AU"/>
        </w:rPr>
        <w:t>Zoorabadi</w:t>
      </w:r>
      <w:proofErr w:type="spellEnd"/>
      <w:r w:rsidR="005C2D49" w:rsidRPr="006F4023">
        <w:rPr>
          <w:lang w:val="en-AU"/>
        </w:rPr>
        <w:t>, 2014)</w:t>
      </w:r>
      <w:r w:rsidR="00396FAB" w:rsidRPr="006F4023">
        <w:rPr>
          <w:lang w:val="en-AU"/>
        </w:rPr>
        <w:t xml:space="preserve">, and ensure estimated flow rates are realistic by accounting for losses of energy due to turbulent flow (for example, see </w:t>
      </w:r>
      <w:proofErr w:type="spellStart"/>
      <w:r w:rsidR="00396FAB" w:rsidRPr="006F4023">
        <w:rPr>
          <w:lang w:val="en-AU"/>
        </w:rPr>
        <w:t>Zoorabadi</w:t>
      </w:r>
      <w:proofErr w:type="spellEnd"/>
      <w:r w:rsidR="00396FAB" w:rsidRPr="006F4023">
        <w:rPr>
          <w:lang w:val="en-AU"/>
        </w:rPr>
        <w:t xml:space="preserve"> et al. 2015). </w:t>
      </w:r>
    </w:p>
    <w:p w14:paraId="431A6633" w14:textId="78D19A09" w:rsidR="00447855" w:rsidRDefault="00536332" w:rsidP="001A0F73">
      <w:pPr>
        <w:pStyle w:val="BodyText"/>
        <w:rPr>
          <w:lang w:val="en-AU"/>
        </w:rPr>
      </w:pPr>
      <w:r w:rsidRPr="006F4023">
        <w:rPr>
          <w:lang w:val="en-AU"/>
        </w:rPr>
        <w:t xml:space="preserve">The definition of </w:t>
      </w:r>
      <w:r w:rsidR="00707BE4" w:rsidRPr="006F4023">
        <w:rPr>
          <w:lang w:val="en-AU"/>
        </w:rPr>
        <w:t>fault parameters and their distributions is problematic</w:t>
      </w:r>
      <w:r w:rsidRPr="006F4023">
        <w:rPr>
          <w:lang w:val="en-AU"/>
        </w:rPr>
        <w:t>,</w:t>
      </w:r>
      <w:r w:rsidR="00707BE4" w:rsidRPr="006F4023">
        <w:rPr>
          <w:lang w:val="en-AU"/>
        </w:rPr>
        <w:t xml:space="preserve"> as fault zone and fracture flow parameters are difficult to measure in the field. </w:t>
      </w:r>
      <w:r w:rsidR="0057638C" w:rsidRPr="006F4023">
        <w:rPr>
          <w:lang w:val="en-AU"/>
        </w:rPr>
        <w:t>Experience</w:t>
      </w:r>
      <w:r w:rsidR="00675C53" w:rsidRPr="006F4023">
        <w:rPr>
          <w:lang w:val="en-AU"/>
        </w:rPr>
        <w:t xml:space="preserve"> from historical fault investigations may assist in constraining factors such as fault core and damage zone thicknesses based on fault displacement (for example see Fossen 2016). </w:t>
      </w:r>
      <w:r w:rsidR="00DC171B" w:rsidRPr="006F4023">
        <w:rPr>
          <w:lang w:val="en-AU"/>
        </w:rPr>
        <w:t xml:space="preserve">The </w:t>
      </w:r>
      <w:r w:rsidR="004140BA" w:rsidRPr="006F4023">
        <w:rPr>
          <w:lang w:val="en-AU"/>
        </w:rPr>
        <w:t xml:space="preserve">schematic </w:t>
      </w:r>
      <w:r w:rsidR="00DC171B" w:rsidRPr="006F4023">
        <w:rPr>
          <w:lang w:val="en-AU"/>
        </w:rPr>
        <w:t xml:space="preserve">in </w:t>
      </w:r>
      <w:r w:rsidR="00DC171B" w:rsidRPr="0038473D">
        <w:rPr>
          <w:lang w:val="en-AU"/>
        </w:rPr>
        <w:fldChar w:fldCharType="begin"/>
      </w:r>
      <w:r w:rsidR="00DC171B" w:rsidRPr="006F4023">
        <w:rPr>
          <w:lang w:val="en-AU"/>
        </w:rPr>
        <w:instrText xml:space="preserve"> REF _Ref56787128 \h </w:instrText>
      </w:r>
      <w:r w:rsidR="00DC171B" w:rsidRPr="0038473D">
        <w:rPr>
          <w:lang w:val="en-AU"/>
        </w:rPr>
      </w:r>
      <w:r w:rsidR="00DC171B" w:rsidRPr="0038473D">
        <w:rPr>
          <w:lang w:val="en-AU"/>
        </w:rPr>
        <w:fldChar w:fldCharType="separate"/>
      </w:r>
      <w:r w:rsidR="00047351" w:rsidRPr="0038473D">
        <w:t xml:space="preserve">Figure </w:t>
      </w:r>
      <w:r w:rsidR="00047351">
        <w:rPr>
          <w:noProof/>
        </w:rPr>
        <w:t>6</w:t>
      </w:r>
      <w:r w:rsidR="00DC171B" w:rsidRPr="0038473D">
        <w:rPr>
          <w:lang w:val="en-AU"/>
        </w:rPr>
        <w:fldChar w:fldCharType="end"/>
      </w:r>
      <w:r w:rsidR="00DC171B" w:rsidRPr="006F4023">
        <w:rPr>
          <w:lang w:val="en-AU"/>
        </w:rPr>
        <w:t xml:space="preserve"> is illustrative of </w:t>
      </w:r>
      <w:r w:rsidR="004140BA" w:rsidRPr="0038473D">
        <w:rPr>
          <w:lang w:val="en-AU"/>
        </w:rPr>
        <w:t xml:space="preserve">the complexity and range of flow paths </w:t>
      </w:r>
      <w:r w:rsidR="00DC171B" w:rsidRPr="0038473D">
        <w:rPr>
          <w:lang w:val="en-AU"/>
        </w:rPr>
        <w:t>caused by faulting</w:t>
      </w:r>
      <w:r w:rsidR="004140BA" w:rsidRPr="006F4023">
        <w:rPr>
          <w:lang w:val="en-AU"/>
        </w:rPr>
        <w:t xml:space="preserve">. </w:t>
      </w:r>
      <w:r w:rsidR="00DC171B" w:rsidRPr="006F4023">
        <w:rPr>
          <w:lang w:val="en-AU"/>
        </w:rPr>
        <w:t xml:space="preserve"> Defining fault parameter distributions to use within the model is also challenging because the modelled fault parameters will likely represent a significantly upscaled volume compared to the field fault measurements.  </w:t>
      </w:r>
      <w:r w:rsidR="00707BE4" w:rsidRPr="006F4023">
        <w:rPr>
          <w:lang w:val="en-AU"/>
        </w:rPr>
        <w:t xml:space="preserve">These ‘upscaled’ or ‘effective’ parameters represent a complex stress and scale </w:t>
      </w:r>
      <w:r w:rsidR="00CA36B5" w:rsidRPr="006F4023">
        <w:rPr>
          <w:lang w:val="en-AU"/>
        </w:rPr>
        <w:t>dependent</w:t>
      </w:r>
      <w:r w:rsidR="00707BE4" w:rsidRPr="006F4023">
        <w:rPr>
          <w:lang w:val="en-AU"/>
        </w:rPr>
        <w:t xml:space="preserve"> integration of the </w:t>
      </w:r>
      <w:r w:rsidR="00BF61D6" w:rsidRPr="006F4023">
        <w:rPr>
          <w:lang w:val="en-AU"/>
        </w:rPr>
        <w:t xml:space="preserve">heterogeneous hydraulic properties that can be </w:t>
      </w:r>
      <w:r w:rsidR="00707BE4" w:rsidRPr="006F4023">
        <w:rPr>
          <w:lang w:val="en-AU"/>
        </w:rPr>
        <w:t xml:space="preserve">measured </w:t>
      </w:r>
      <w:r w:rsidR="00BF61D6" w:rsidRPr="006F4023">
        <w:rPr>
          <w:lang w:val="en-AU"/>
        </w:rPr>
        <w:t xml:space="preserve">in </w:t>
      </w:r>
      <w:r w:rsidR="00707BE4" w:rsidRPr="006F4023">
        <w:rPr>
          <w:lang w:val="en-AU"/>
        </w:rPr>
        <w:t xml:space="preserve">field tests, that is difficult to define without supporting numerical experiments. </w:t>
      </w:r>
      <w:r w:rsidR="008C6707" w:rsidRPr="006F4023">
        <w:rPr>
          <w:lang w:val="en-AU"/>
        </w:rPr>
        <w:t xml:space="preserve"> </w:t>
      </w:r>
    </w:p>
    <w:p w14:paraId="7B81542A" w14:textId="6459BB1F" w:rsidR="0069751D" w:rsidRPr="006F4023" w:rsidRDefault="0069751D" w:rsidP="001A0F73">
      <w:pPr>
        <w:pStyle w:val="BodyText"/>
        <w:rPr>
          <w:lang w:val="en-AU"/>
        </w:rPr>
      </w:pPr>
      <w:proofErr w:type="spellStart"/>
      <w:r w:rsidRPr="006122E5">
        <w:t>Adhikary</w:t>
      </w:r>
      <w:proofErr w:type="spellEnd"/>
      <w:r>
        <w:t xml:space="preserve"> et. al (2017) report on numerical predictions using </w:t>
      </w:r>
      <w:proofErr w:type="spellStart"/>
      <w:r>
        <w:t>geomechanical</w:t>
      </w:r>
      <w:proofErr w:type="spellEnd"/>
      <w:r>
        <w:t xml:space="preserve"> modelling of fracture propagation above LCM operations with comparison to two Australian mines. </w:t>
      </w:r>
      <w:r w:rsidR="00C10B68">
        <w:t xml:space="preserve">A modelling method or workflow for predicting fracture growth above longwalls is presented. </w:t>
      </w:r>
      <w:r>
        <w:t xml:space="preserve">This work </w:t>
      </w:r>
      <w:r w:rsidR="00C10B68">
        <w:t xml:space="preserve">also </w:t>
      </w:r>
      <w:r>
        <w:t xml:space="preserve">includes methods for estimation of the increased permeability (hydraulic conductivity) above longwalls due to fracturing and how this varies with height above the mined seam. </w:t>
      </w:r>
      <w:r w:rsidR="00C10B68">
        <w:t xml:space="preserve">Results show increases of 1 to 8 orders of magnitude, depending on fracture aperture, </w:t>
      </w:r>
      <w:proofErr w:type="gramStart"/>
      <w:r w:rsidR="00C10B68">
        <w:t>intensity</w:t>
      </w:r>
      <w:proofErr w:type="gramEnd"/>
      <w:r w:rsidR="00C10B68">
        <w:t xml:space="preserve"> and connectivity.</w:t>
      </w:r>
    </w:p>
    <w:p w14:paraId="59393B1C" w14:textId="2BDDE24E" w:rsidR="00707BE4" w:rsidRPr="006F4023" w:rsidRDefault="00EE13D3" w:rsidP="001A0F73">
      <w:pPr>
        <w:pStyle w:val="BodyText"/>
        <w:rPr>
          <w:lang w:val="en-AU"/>
        </w:rPr>
      </w:pPr>
      <w:r w:rsidRPr="006F4023">
        <w:rPr>
          <w:lang w:val="en-AU"/>
        </w:rPr>
        <w:t xml:space="preserve">Upscaled estimated </w:t>
      </w:r>
      <w:r w:rsidR="00707BE4" w:rsidRPr="006F4023">
        <w:rPr>
          <w:lang w:val="en-AU"/>
        </w:rPr>
        <w:t>parameter</w:t>
      </w:r>
      <w:r w:rsidRPr="006F4023">
        <w:rPr>
          <w:lang w:val="en-AU"/>
        </w:rPr>
        <w:t xml:space="preserve"> values </w:t>
      </w:r>
      <w:r w:rsidR="0001522C" w:rsidRPr="006F4023">
        <w:rPr>
          <w:lang w:val="en-AU"/>
        </w:rPr>
        <w:t xml:space="preserve">can </w:t>
      </w:r>
      <w:r w:rsidRPr="006F4023">
        <w:rPr>
          <w:lang w:val="en-AU"/>
        </w:rPr>
        <w:t>also depend on</w:t>
      </w:r>
      <w:r w:rsidR="00707BE4" w:rsidRPr="006F4023">
        <w:rPr>
          <w:lang w:val="en-AU"/>
        </w:rPr>
        <w:t xml:space="preserve"> the flow pathways being considered</w:t>
      </w:r>
      <w:r w:rsidR="001A0F73" w:rsidRPr="006F4023">
        <w:rPr>
          <w:lang w:val="en-AU"/>
        </w:rPr>
        <w:t xml:space="preserve">. </w:t>
      </w:r>
      <w:r w:rsidR="00447855" w:rsidRPr="006F4023">
        <w:rPr>
          <w:lang w:val="en-AU"/>
        </w:rPr>
        <w:t>Additionally, t</w:t>
      </w:r>
      <w:r w:rsidR="001A0F73" w:rsidRPr="006F4023">
        <w:rPr>
          <w:lang w:val="en-AU"/>
        </w:rPr>
        <w:t xml:space="preserve">he general disposition of the fault compared to the groundwater flow direction is a key factor in decisions on fault representation in a model, which must accommodate either or both of the following flow regimes: </w:t>
      </w:r>
    </w:p>
    <w:p w14:paraId="039D753F" w14:textId="7A3F9CE7" w:rsidR="00707BE4" w:rsidRPr="006F4023" w:rsidRDefault="00613D01" w:rsidP="00707BE4">
      <w:pPr>
        <w:pStyle w:val="BodyText"/>
        <w:numPr>
          <w:ilvl w:val="0"/>
          <w:numId w:val="29"/>
        </w:numPr>
        <w:rPr>
          <w:lang w:val="en-AU"/>
        </w:rPr>
      </w:pPr>
      <w:r w:rsidRPr="006F4023">
        <w:rPr>
          <w:lang w:val="en-AU"/>
        </w:rPr>
        <w:t>f</w:t>
      </w:r>
      <w:r w:rsidR="00707BE4" w:rsidRPr="006F4023">
        <w:rPr>
          <w:lang w:val="en-AU"/>
        </w:rPr>
        <w:t>lows across faults</w:t>
      </w:r>
      <w:r w:rsidR="00EE13D3" w:rsidRPr="006F4023">
        <w:rPr>
          <w:lang w:val="en-AU"/>
        </w:rPr>
        <w:t xml:space="preserve"> (from one side of the fault to the other), typically where flow units such as aquifers or coal seams are juxtaposed against one another across the fault, and</w:t>
      </w:r>
    </w:p>
    <w:p w14:paraId="4AA79DB8" w14:textId="75735090" w:rsidR="00EE13D3" w:rsidRPr="006F4023" w:rsidRDefault="00613D01" w:rsidP="00707BE4">
      <w:pPr>
        <w:pStyle w:val="BodyText"/>
        <w:numPr>
          <w:ilvl w:val="0"/>
          <w:numId w:val="29"/>
        </w:numPr>
        <w:rPr>
          <w:lang w:val="en-AU"/>
        </w:rPr>
      </w:pPr>
      <w:r w:rsidRPr="006F4023">
        <w:rPr>
          <w:lang w:val="en-AU"/>
        </w:rPr>
        <w:t>f</w:t>
      </w:r>
      <w:r w:rsidR="00707BE4" w:rsidRPr="006F4023">
        <w:rPr>
          <w:lang w:val="en-AU"/>
        </w:rPr>
        <w:t>low parallel to faults</w:t>
      </w:r>
      <w:r w:rsidR="00EE13D3" w:rsidRPr="006F4023">
        <w:rPr>
          <w:lang w:val="en-AU"/>
        </w:rPr>
        <w:t>, typically through fracture networks that develop in a tabular zone generally parallel to the faults.</w:t>
      </w:r>
    </w:p>
    <w:p w14:paraId="1B5A7FA7" w14:textId="77777777" w:rsidR="00707BE4" w:rsidRPr="006F4023" w:rsidRDefault="00707BE4" w:rsidP="00A10578">
      <w:pPr>
        <w:pStyle w:val="BodyText"/>
        <w:rPr>
          <w:lang w:val="en-AU"/>
        </w:rPr>
      </w:pPr>
    </w:p>
    <w:p w14:paraId="79DFDB0B" w14:textId="77777777" w:rsidR="00396FAB" w:rsidRPr="006F4023" w:rsidRDefault="00396FAB" w:rsidP="009761F9">
      <w:pPr>
        <w:pStyle w:val="BodyText"/>
        <w:rPr>
          <w:lang w:val="en-AU"/>
        </w:rPr>
      </w:pPr>
    </w:p>
    <w:p w14:paraId="1BE329BD" w14:textId="77777777" w:rsidR="009761F9" w:rsidRPr="006F4023" w:rsidRDefault="009761F9" w:rsidP="009761F9">
      <w:pPr>
        <w:pStyle w:val="Bullet1"/>
        <w:keepNext/>
        <w:ind w:left="568" w:hanging="284"/>
        <w:rPr>
          <w:lang w:val="en-AU"/>
        </w:rPr>
      </w:pPr>
      <w:r w:rsidRPr="006F4023">
        <w:rPr>
          <w:noProof/>
          <w:lang w:val="en-AU" w:eastAsia="en-AU"/>
        </w:rPr>
        <w:lastRenderedPageBreak/>
        <w:drawing>
          <wp:inline distT="0" distB="0" distL="0" distR="0" wp14:anchorId="10911271" wp14:editId="287D4135">
            <wp:extent cx="5759450" cy="5429250"/>
            <wp:effectExtent l="0" t="0" r="6350" b="0"/>
            <wp:docPr id="2047755433" name="Picture 2047755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59450" cy="5429250"/>
                    </a:xfrm>
                    <a:prstGeom prst="rect">
                      <a:avLst/>
                    </a:prstGeom>
                  </pic:spPr>
                </pic:pic>
              </a:graphicData>
            </a:graphic>
          </wp:inline>
        </w:drawing>
      </w:r>
    </w:p>
    <w:p w14:paraId="74C4EB22" w14:textId="2E7B2DDC" w:rsidR="009761F9" w:rsidRPr="006F4023" w:rsidRDefault="00AD5EDF" w:rsidP="009761F9">
      <w:pPr>
        <w:pStyle w:val="Caption"/>
      </w:pPr>
      <w:bookmarkStart w:id="398" w:name="_Ref56787128"/>
      <w:r w:rsidRPr="0038473D">
        <w:t xml:space="preserve">Figure </w:t>
      </w:r>
      <w:r w:rsidRPr="0038473D">
        <w:fldChar w:fldCharType="begin"/>
      </w:r>
      <w:r w:rsidRPr="006F4023">
        <w:instrText xml:space="preserve"> SEQ Figure \* ARABIC </w:instrText>
      </w:r>
      <w:r w:rsidRPr="0038473D">
        <w:fldChar w:fldCharType="separate"/>
      </w:r>
      <w:r w:rsidR="00047351">
        <w:rPr>
          <w:noProof/>
        </w:rPr>
        <w:t>6</w:t>
      </w:r>
      <w:r w:rsidRPr="0038473D">
        <w:fldChar w:fldCharType="end"/>
      </w:r>
      <w:bookmarkEnd w:id="398"/>
      <w:r w:rsidRPr="006F4023">
        <w:t>:</w:t>
      </w:r>
      <w:r w:rsidR="009761F9" w:rsidRPr="0038473D">
        <w:t xml:space="preserve"> Photo showing flow paths related to faulting and fracturing. Panel A shows the basic geology. Panel B shows the </w:t>
      </w:r>
      <w:proofErr w:type="spellStart"/>
      <w:r w:rsidR="009761F9" w:rsidRPr="0038473D">
        <w:t>hydrogeologically</w:t>
      </w:r>
      <w:proofErr w:type="spellEnd"/>
      <w:r w:rsidR="009761F9" w:rsidRPr="0038473D">
        <w:t xml:space="preserve"> important features. Right panel shows an interpretati</w:t>
      </w:r>
      <w:r w:rsidR="009761F9" w:rsidRPr="006F4023">
        <w:t>on of the potential flow pathways.</w:t>
      </w:r>
    </w:p>
    <w:p w14:paraId="417D6F63" w14:textId="77777777" w:rsidR="00396FAB" w:rsidRPr="006F4023" w:rsidRDefault="00396FAB" w:rsidP="009761F9">
      <w:pPr>
        <w:pStyle w:val="BodyText"/>
        <w:rPr>
          <w:lang w:val="en-AU"/>
        </w:rPr>
      </w:pPr>
    </w:p>
    <w:p w14:paraId="04270282" w14:textId="77777777" w:rsidR="00396FAB" w:rsidRPr="006F4023" w:rsidRDefault="00396FAB" w:rsidP="00396FAB">
      <w:pPr>
        <w:pStyle w:val="BodyText"/>
        <w:rPr>
          <w:lang w:val="en-AU"/>
        </w:rPr>
      </w:pPr>
      <w:r w:rsidRPr="006F4023">
        <w:rPr>
          <w:lang w:val="en-AU"/>
        </w:rPr>
        <w:t>A few important points to mention include:</w:t>
      </w:r>
    </w:p>
    <w:p w14:paraId="6797EB06" w14:textId="0B5973E0" w:rsidR="00396FAB" w:rsidRPr="006F4023" w:rsidRDefault="00396FAB" w:rsidP="00613D01">
      <w:pPr>
        <w:pStyle w:val="BodyText"/>
        <w:numPr>
          <w:ilvl w:val="0"/>
          <w:numId w:val="26"/>
        </w:numPr>
        <w:rPr>
          <w:lang w:val="en-AU"/>
        </w:rPr>
      </w:pPr>
      <w:r w:rsidRPr="006F4023">
        <w:rPr>
          <w:lang w:val="en-AU"/>
        </w:rPr>
        <w:t xml:space="preserve">For a juxtaposition flow path, if the fault rock thickness tends to zero anywhere along the fault zone (this appears to be common according to recent studies, including </w:t>
      </w:r>
      <w:proofErr w:type="spellStart"/>
      <w:r w:rsidRPr="006F4023">
        <w:rPr>
          <w:lang w:val="en-AU"/>
        </w:rPr>
        <w:t>Sosio</w:t>
      </w:r>
      <w:proofErr w:type="spellEnd"/>
      <w:r w:rsidRPr="006F4023">
        <w:rPr>
          <w:lang w:val="en-AU"/>
        </w:rPr>
        <w:t xml:space="preserve"> de Rosa et al. 2018), then there is no fault core. The permeability term for cross-fault flow therefore reverts to the matrix permeability of the material to either side of the fault</w:t>
      </w:r>
      <w:r w:rsidR="00A44E58" w:rsidRPr="006F4023">
        <w:rPr>
          <w:lang w:val="en-AU"/>
        </w:rPr>
        <w:t>; and</w:t>
      </w:r>
      <w:r w:rsidRPr="006F4023">
        <w:rPr>
          <w:lang w:val="en-AU"/>
        </w:rPr>
        <w:t xml:space="preserve"> </w:t>
      </w:r>
    </w:p>
    <w:p w14:paraId="4A202F0E" w14:textId="600DDFC6" w:rsidR="00396FAB" w:rsidRPr="006F4023" w:rsidRDefault="00396FAB" w:rsidP="00613D01">
      <w:pPr>
        <w:pStyle w:val="BodyText"/>
        <w:numPr>
          <w:ilvl w:val="0"/>
          <w:numId w:val="26"/>
        </w:numPr>
        <w:rPr>
          <w:lang w:val="en-AU"/>
        </w:rPr>
      </w:pPr>
      <w:r w:rsidRPr="006F4023">
        <w:rPr>
          <w:lang w:val="en-AU"/>
        </w:rPr>
        <w:t>W</w:t>
      </w:r>
      <w:r w:rsidR="00447855" w:rsidRPr="006F4023">
        <w:rPr>
          <w:lang w:val="en-AU"/>
        </w:rPr>
        <w:t>hen</w:t>
      </w:r>
      <w:r w:rsidRPr="006F4023">
        <w:rPr>
          <w:lang w:val="en-AU"/>
        </w:rPr>
        <w:t xml:space="preserve"> Darcy’s law </w:t>
      </w:r>
      <w:r w:rsidR="00042B52" w:rsidRPr="006F4023">
        <w:rPr>
          <w:lang w:val="en-AU"/>
        </w:rPr>
        <w:t>is</w:t>
      </w:r>
      <w:r w:rsidR="00BF61D6" w:rsidRPr="006F4023">
        <w:rPr>
          <w:lang w:val="en-AU"/>
        </w:rPr>
        <w:t xml:space="preserve"> applied to </w:t>
      </w:r>
      <w:r w:rsidRPr="006F4023">
        <w:rPr>
          <w:lang w:val="en-AU"/>
        </w:rPr>
        <w:t>cross fault flow through a crushed rock material, the hydraulic conductivity within and along the fault path is heterogeneous</w:t>
      </w:r>
      <w:r w:rsidR="00447855" w:rsidRPr="006F4023">
        <w:rPr>
          <w:lang w:val="en-AU"/>
        </w:rPr>
        <w:t xml:space="preserve"> and </w:t>
      </w:r>
      <w:r w:rsidRPr="006F4023">
        <w:rPr>
          <w:lang w:val="en-AU"/>
        </w:rPr>
        <w:t>the hydraulic conductivity employed in</w:t>
      </w:r>
      <w:r w:rsidR="00E812FF" w:rsidRPr="006F4023">
        <w:rPr>
          <w:lang w:val="en-AU"/>
        </w:rPr>
        <w:t xml:space="preserve"> applying</w:t>
      </w:r>
      <w:r w:rsidRPr="006F4023">
        <w:rPr>
          <w:lang w:val="en-AU"/>
        </w:rPr>
        <w:t xml:space="preserve"> Darcy’s law is scale dependent. In general, the juxtaposition area term is far more important than the fault thickness because for typical faults around coal developments the areas are often very large (hundreds to thousands of m</w:t>
      </w:r>
      <w:r w:rsidRPr="006F4023">
        <w:rPr>
          <w:vertAlign w:val="superscript"/>
          <w:lang w:val="en-AU"/>
        </w:rPr>
        <w:t>2</w:t>
      </w:r>
      <w:r w:rsidRPr="006F4023">
        <w:rPr>
          <w:lang w:val="en-AU"/>
        </w:rPr>
        <w:t xml:space="preserve">) in comparison to the thickness or the core zones (frequently less than 1 m). The choice of flow calculations </w:t>
      </w:r>
      <w:r w:rsidR="00447855" w:rsidRPr="006F4023">
        <w:rPr>
          <w:lang w:val="en-AU"/>
        </w:rPr>
        <w:t xml:space="preserve">between </w:t>
      </w:r>
      <w:r w:rsidRPr="006F4023">
        <w:rPr>
          <w:lang w:val="en-AU"/>
        </w:rPr>
        <w:t xml:space="preserve">Darcy’s law or </w:t>
      </w:r>
      <w:r w:rsidR="009B0762" w:rsidRPr="006F4023">
        <w:rPr>
          <w:lang w:val="en-AU"/>
        </w:rPr>
        <w:t xml:space="preserve">the Cubic Law </w:t>
      </w:r>
      <w:r w:rsidRPr="006F4023">
        <w:rPr>
          <w:lang w:val="en-AU"/>
        </w:rPr>
        <w:t xml:space="preserve">should be based on conservative assumptions from the perspective of influence on groundwater assets and GDEs. A relevant discussion of the potential </w:t>
      </w:r>
      <w:r w:rsidRPr="006F4023">
        <w:rPr>
          <w:lang w:val="en-AU"/>
        </w:rPr>
        <w:lastRenderedPageBreak/>
        <w:t>pitfalls in different approaches is outlined in the Explanatory Note for groundwater modelling (</w:t>
      </w:r>
      <w:proofErr w:type="spellStart"/>
      <w:r w:rsidRPr="006F4023">
        <w:rPr>
          <w:lang w:val="en-AU"/>
        </w:rPr>
        <w:t>Middlemis</w:t>
      </w:r>
      <w:proofErr w:type="spellEnd"/>
      <w:r w:rsidRPr="006F4023">
        <w:rPr>
          <w:lang w:val="en-AU"/>
        </w:rPr>
        <w:t xml:space="preserve"> and </w:t>
      </w:r>
      <w:proofErr w:type="spellStart"/>
      <w:r w:rsidRPr="006F4023">
        <w:rPr>
          <w:lang w:val="en-AU"/>
        </w:rPr>
        <w:t>Peeters</w:t>
      </w:r>
      <w:proofErr w:type="spellEnd"/>
      <w:r w:rsidRPr="006F4023">
        <w:rPr>
          <w:lang w:val="en-AU"/>
        </w:rPr>
        <w:t xml:space="preserve"> 2018, particularly </w:t>
      </w:r>
      <w:r w:rsidR="00447855" w:rsidRPr="006F4023">
        <w:rPr>
          <w:lang w:val="en-AU"/>
        </w:rPr>
        <w:t>C</w:t>
      </w:r>
      <w:r w:rsidRPr="006F4023">
        <w:rPr>
          <w:lang w:val="en-AU"/>
        </w:rPr>
        <w:t xml:space="preserve">hapters 4, 5 and 6). Discussions of the relevance of </w:t>
      </w:r>
      <w:r w:rsidR="009B0762" w:rsidRPr="006F4023">
        <w:rPr>
          <w:lang w:val="en-AU"/>
        </w:rPr>
        <w:t xml:space="preserve">the Cubic Law </w:t>
      </w:r>
      <w:r w:rsidRPr="006F4023">
        <w:rPr>
          <w:lang w:val="en-AU"/>
        </w:rPr>
        <w:t xml:space="preserve">and its applicability, limitations and possible modifications are discussed in more detail (for example) by </w:t>
      </w:r>
      <w:proofErr w:type="spellStart"/>
      <w:r w:rsidRPr="006F4023">
        <w:rPr>
          <w:lang w:val="en-AU"/>
        </w:rPr>
        <w:t>Zoorabadi</w:t>
      </w:r>
      <w:proofErr w:type="spellEnd"/>
      <w:r w:rsidRPr="006F4023">
        <w:rPr>
          <w:lang w:val="en-AU"/>
        </w:rPr>
        <w:t xml:space="preserve"> et al. (2015).</w:t>
      </w:r>
    </w:p>
    <w:p w14:paraId="4FB9F8D0" w14:textId="77777777" w:rsidR="00FC261A" w:rsidRPr="006F4023" w:rsidRDefault="00253A65" w:rsidP="007E2D6E">
      <w:pPr>
        <w:pStyle w:val="Heading2Numbered"/>
      </w:pPr>
      <w:bookmarkStart w:id="399" w:name="_Toc66967202"/>
      <w:r w:rsidRPr="006F4023">
        <w:t>Single continuum</w:t>
      </w:r>
      <w:r w:rsidR="009761F9" w:rsidRPr="006F4023">
        <w:t xml:space="preserve"> or EPM</w:t>
      </w:r>
      <w:r w:rsidRPr="006F4023">
        <w:t xml:space="preserve"> models</w:t>
      </w:r>
      <w:bookmarkEnd w:id="399"/>
    </w:p>
    <w:p w14:paraId="2C8B1D67" w14:textId="7DC4F4EC" w:rsidR="00234E2F" w:rsidRPr="002A7BAB" w:rsidRDefault="00F73E4F" w:rsidP="00C167F0">
      <w:pPr>
        <w:pStyle w:val="BodyText"/>
        <w:rPr>
          <w:lang w:val="en-AU"/>
        </w:rPr>
      </w:pPr>
      <w:r w:rsidRPr="002A7BAB">
        <w:rPr>
          <w:lang w:val="en-AU"/>
        </w:rPr>
        <w:t>Single continuum</w:t>
      </w:r>
      <w:r w:rsidR="004A6BA1" w:rsidRPr="002A7BAB">
        <w:rPr>
          <w:lang w:val="en-AU"/>
        </w:rPr>
        <w:t xml:space="preserve">, or </w:t>
      </w:r>
      <w:r w:rsidR="00BC6A88" w:rsidRPr="002A7BAB">
        <w:rPr>
          <w:lang w:val="en-AU"/>
        </w:rPr>
        <w:t>EPM</w:t>
      </w:r>
      <w:r w:rsidRPr="002A7BAB">
        <w:rPr>
          <w:lang w:val="en-AU"/>
        </w:rPr>
        <w:t xml:space="preserve"> approaches</w:t>
      </w:r>
      <w:r w:rsidR="004A6BA1" w:rsidRPr="002A7BAB">
        <w:rPr>
          <w:lang w:val="en-AU"/>
        </w:rPr>
        <w:t>,</w:t>
      </w:r>
      <w:r w:rsidRPr="002A7BAB">
        <w:rPr>
          <w:lang w:val="en-AU"/>
        </w:rPr>
        <w:t xml:space="preserve"> rely on representing </w:t>
      </w:r>
      <w:r w:rsidR="00234E2F" w:rsidRPr="002A7BAB">
        <w:rPr>
          <w:lang w:val="en-AU"/>
        </w:rPr>
        <w:t>the bulk properties of faults</w:t>
      </w:r>
      <w:r w:rsidRPr="002A7BAB">
        <w:rPr>
          <w:lang w:val="en-AU"/>
        </w:rPr>
        <w:t xml:space="preserve"> </w:t>
      </w:r>
      <w:r w:rsidR="009B5DA5" w:rsidRPr="002A7BAB">
        <w:rPr>
          <w:lang w:val="en-AU"/>
        </w:rPr>
        <w:t>as</w:t>
      </w:r>
      <w:r w:rsidR="004A6BA1" w:rsidRPr="002A7BAB">
        <w:rPr>
          <w:lang w:val="en-AU"/>
        </w:rPr>
        <w:t xml:space="preserve"> equivalent</w:t>
      </w:r>
      <w:r w:rsidR="009B5DA5" w:rsidRPr="002A7BAB">
        <w:rPr>
          <w:lang w:val="en-AU"/>
        </w:rPr>
        <w:t xml:space="preserve"> porous media hydraulic properties</w:t>
      </w:r>
      <w:r w:rsidR="00447855" w:rsidRPr="002A7BAB">
        <w:rPr>
          <w:lang w:val="en-AU"/>
        </w:rPr>
        <w:t xml:space="preserve"> and assume </w:t>
      </w:r>
      <w:proofErr w:type="spellStart"/>
      <w:r w:rsidR="00447855" w:rsidRPr="002A7BAB">
        <w:rPr>
          <w:lang w:val="en-AU"/>
        </w:rPr>
        <w:t>Darcian</w:t>
      </w:r>
      <w:proofErr w:type="spellEnd"/>
      <w:r w:rsidR="00447855" w:rsidRPr="002A7BAB">
        <w:rPr>
          <w:lang w:val="en-AU"/>
        </w:rPr>
        <w:t xml:space="preserve"> flow</w:t>
      </w:r>
      <w:r w:rsidRPr="002A7BAB">
        <w:rPr>
          <w:lang w:val="en-AU"/>
        </w:rPr>
        <w:t xml:space="preserve">.  This approach </w:t>
      </w:r>
      <w:r w:rsidR="00F62B35" w:rsidRPr="002A7BAB">
        <w:rPr>
          <w:lang w:val="en-AU"/>
        </w:rPr>
        <w:t>can be</w:t>
      </w:r>
      <w:r w:rsidRPr="002A7BAB">
        <w:rPr>
          <w:lang w:val="en-AU"/>
        </w:rPr>
        <w:t xml:space="preserve"> adopted for large regional or subregional scale models (</w:t>
      </w:r>
      <w:proofErr w:type="gramStart"/>
      <w:r w:rsidRPr="002A7BAB">
        <w:rPr>
          <w:lang w:val="en-AU"/>
        </w:rPr>
        <w:t>e.g.</w:t>
      </w:r>
      <w:proofErr w:type="gramEnd"/>
      <w:r w:rsidRPr="002A7BAB">
        <w:rPr>
          <w:lang w:val="en-AU"/>
        </w:rPr>
        <w:t xml:space="preserve"> a model domain extending 10’s of k</w:t>
      </w:r>
      <w:r w:rsidR="00E812FF" w:rsidRPr="002A7BAB">
        <w:rPr>
          <w:lang w:val="en-AU"/>
        </w:rPr>
        <w:t>ilo</w:t>
      </w:r>
      <w:r w:rsidRPr="002A7BAB">
        <w:rPr>
          <w:lang w:val="en-AU"/>
        </w:rPr>
        <w:t>m</w:t>
      </w:r>
      <w:r w:rsidR="00E812FF" w:rsidRPr="002A7BAB">
        <w:rPr>
          <w:lang w:val="en-AU"/>
        </w:rPr>
        <w:t>etres</w:t>
      </w:r>
      <w:r w:rsidRPr="002A7BAB">
        <w:rPr>
          <w:lang w:val="en-AU"/>
        </w:rPr>
        <w:t>), where the investigation scale is much greater than the scale of the subsurface heterogeneities</w:t>
      </w:r>
      <w:r w:rsidR="0020515B" w:rsidRPr="002A7BAB">
        <w:rPr>
          <w:lang w:val="en-AU"/>
        </w:rPr>
        <w:t xml:space="preserve"> </w:t>
      </w:r>
      <w:r w:rsidR="00E1358B" w:rsidRPr="002A7BAB">
        <w:rPr>
          <w:lang w:val="en-AU"/>
        </w:rPr>
        <w:t>(</w:t>
      </w:r>
      <w:proofErr w:type="spellStart"/>
      <w:r w:rsidR="00E1358B" w:rsidRPr="002A7BAB">
        <w:rPr>
          <w:lang w:val="en-AU"/>
        </w:rPr>
        <w:t>Bense</w:t>
      </w:r>
      <w:proofErr w:type="spellEnd"/>
      <w:r w:rsidR="00E1358B" w:rsidRPr="002A7BAB">
        <w:rPr>
          <w:lang w:val="en-AU"/>
        </w:rPr>
        <w:t xml:space="preserve"> et al. 2013</w:t>
      </w:r>
      <w:r w:rsidR="0020515B" w:rsidRPr="002A7BAB">
        <w:rPr>
          <w:lang w:val="en-AU"/>
        </w:rPr>
        <w:t>)</w:t>
      </w:r>
      <w:r w:rsidRPr="002A7BAB">
        <w:rPr>
          <w:lang w:val="en-AU"/>
        </w:rPr>
        <w:t xml:space="preserve">.  </w:t>
      </w:r>
    </w:p>
    <w:p w14:paraId="6FF3CA16" w14:textId="77777777" w:rsidR="00527351" w:rsidRPr="0038473D" w:rsidRDefault="00527351" w:rsidP="007E2D6E">
      <w:pPr>
        <w:pStyle w:val="Heading3Numbered"/>
      </w:pPr>
      <w:bookmarkStart w:id="400" w:name="_Toc66967203"/>
      <w:r w:rsidRPr="006F4023">
        <w:t xml:space="preserve">Parameterisation </w:t>
      </w:r>
      <w:r w:rsidR="00764419" w:rsidRPr="0038473D">
        <w:t>devices</w:t>
      </w:r>
      <w:bookmarkEnd w:id="400"/>
    </w:p>
    <w:p w14:paraId="73C246AF" w14:textId="61E2B7C9" w:rsidR="00527351" w:rsidRPr="002A7BAB" w:rsidRDefault="00447855" w:rsidP="00613D01">
      <w:pPr>
        <w:pStyle w:val="BodyText"/>
        <w:rPr>
          <w:lang w:val="en-AU"/>
        </w:rPr>
      </w:pPr>
      <w:r w:rsidRPr="002A7BAB">
        <w:rPr>
          <w:lang w:val="en-AU"/>
        </w:rPr>
        <w:t>G</w:t>
      </w:r>
      <w:r w:rsidR="00973959" w:rsidRPr="002A7BAB">
        <w:rPr>
          <w:lang w:val="en-AU"/>
        </w:rPr>
        <w:t>roundwater model</w:t>
      </w:r>
      <w:r w:rsidRPr="002A7BAB">
        <w:rPr>
          <w:lang w:val="en-AU"/>
        </w:rPr>
        <w:t>s</w:t>
      </w:r>
      <w:r w:rsidR="00973959" w:rsidRPr="002A7BAB">
        <w:rPr>
          <w:lang w:val="en-AU"/>
        </w:rPr>
        <w:t xml:space="preserve"> can</w:t>
      </w:r>
      <w:r w:rsidR="00421CF0" w:rsidRPr="002A7BAB">
        <w:rPr>
          <w:lang w:val="en-AU"/>
        </w:rPr>
        <w:t>not</w:t>
      </w:r>
      <w:r w:rsidR="00973959" w:rsidRPr="002A7BAB">
        <w:rPr>
          <w:lang w:val="en-AU"/>
        </w:rPr>
        <w:t xml:space="preserve"> </w:t>
      </w:r>
      <w:r w:rsidRPr="002A7BAB">
        <w:rPr>
          <w:lang w:val="en-AU"/>
        </w:rPr>
        <w:t xml:space="preserve">replicate </w:t>
      </w:r>
      <w:r w:rsidR="00973959" w:rsidRPr="002A7BAB">
        <w:rPr>
          <w:lang w:val="en-AU"/>
        </w:rPr>
        <w:t xml:space="preserve">the full geological detail </w:t>
      </w:r>
      <w:r w:rsidRPr="002A7BAB">
        <w:rPr>
          <w:lang w:val="en-AU"/>
        </w:rPr>
        <w:t xml:space="preserve">of a </w:t>
      </w:r>
      <w:r w:rsidR="00973959" w:rsidRPr="002A7BAB">
        <w:rPr>
          <w:lang w:val="en-AU"/>
        </w:rPr>
        <w:t>groundwater system</w:t>
      </w:r>
      <w:r w:rsidR="00E62102" w:rsidRPr="002A7BAB">
        <w:rPr>
          <w:lang w:val="en-AU"/>
        </w:rPr>
        <w:t xml:space="preserve"> with or without faulting</w:t>
      </w:r>
      <w:r w:rsidR="00973959" w:rsidRPr="002A7BAB">
        <w:rPr>
          <w:lang w:val="en-AU"/>
        </w:rPr>
        <w:t xml:space="preserve">.  </w:t>
      </w:r>
      <w:r w:rsidR="00E62102" w:rsidRPr="002A7BAB">
        <w:rPr>
          <w:lang w:val="en-AU"/>
        </w:rPr>
        <w:t>When faults are present, their representation</w:t>
      </w:r>
      <w:r w:rsidR="00973959" w:rsidRPr="002A7BAB">
        <w:rPr>
          <w:lang w:val="en-AU"/>
        </w:rPr>
        <w:t xml:space="preserve"> must </w:t>
      </w:r>
      <w:r w:rsidR="00E62102" w:rsidRPr="002A7BAB">
        <w:rPr>
          <w:lang w:val="en-AU"/>
        </w:rPr>
        <w:t xml:space="preserve">enable </w:t>
      </w:r>
      <w:r w:rsidR="00973959" w:rsidRPr="002A7BAB">
        <w:rPr>
          <w:lang w:val="en-AU"/>
        </w:rPr>
        <w:t xml:space="preserve">the repercussions of the fault on the simulated changes to the groundwater flow system </w:t>
      </w:r>
      <w:r w:rsidR="00E62102" w:rsidRPr="002A7BAB">
        <w:rPr>
          <w:lang w:val="en-AU"/>
        </w:rPr>
        <w:t>to be determined</w:t>
      </w:r>
      <w:r w:rsidR="00973959" w:rsidRPr="002A7BAB">
        <w:rPr>
          <w:lang w:val="en-AU"/>
        </w:rPr>
        <w:t xml:space="preserve">. This </w:t>
      </w:r>
      <w:r w:rsidR="00E62102" w:rsidRPr="002A7BAB">
        <w:rPr>
          <w:lang w:val="en-AU"/>
        </w:rPr>
        <w:t xml:space="preserve">may require </w:t>
      </w:r>
      <w:r w:rsidR="00973959" w:rsidRPr="002A7BAB">
        <w:rPr>
          <w:lang w:val="en-AU"/>
        </w:rPr>
        <w:t xml:space="preserve">a somewhat abstract </w:t>
      </w:r>
      <w:r w:rsidR="00E62102" w:rsidRPr="002A7BAB">
        <w:rPr>
          <w:lang w:val="en-AU"/>
        </w:rPr>
        <w:t xml:space="preserve">representation of the </w:t>
      </w:r>
      <w:r w:rsidR="00973959" w:rsidRPr="002A7BAB">
        <w:rPr>
          <w:lang w:val="en-AU"/>
        </w:rPr>
        <w:t xml:space="preserve">fault </w:t>
      </w:r>
      <w:r w:rsidR="00E62102" w:rsidRPr="002A7BAB">
        <w:rPr>
          <w:lang w:val="en-AU"/>
        </w:rPr>
        <w:t>and its parameterisation</w:t>
      </w:r>
      <w:r w:rsidR="00973959" w:rsidRPr="002A7BAB">
        <w:rPr>
          <w:lang w:val="en-AU"/>
        </w:rPr>
        <w:t>.</w:t>
      </w:r>
      <w:r w:rsidR="000820FC" w:rsidRPr="002A7BAB">
        <w:rPr>
          <w:lang w:val="en-AU"/>
        </w:rPr>
        <w:t xml:space="preserve">  </w:t>
      </w:r>
      <w:r w:rsidR="00527351" w:rsidRPr="002A7BAB">
        <w:rPr>
          <w:lang w:val="en-AU"/>
        </w:rPr>
        <w:t xml:space="preserve">The </w:t>
      </w:r>
      <w:r w:rsidR="00973959" w:rsidRPr="002A7BAB">
        <w:rPr>
          <w:lang w:val="en-AU"/>
        </w:rPr>
        <w:t>model</w:t>
      </w:r>
      <w:r w:rsidR="00E62102" w:rsidRPr="002A7BAB">
        <w:rPr>
          <w:lang w:val="en-AU"/>
        </w:rPr>
        <w:t xml:space="preserve">ling methods </w:t>
      </w:r>
      <w:r w:rsidR="00527351" w:rsidRPr="002A7BAB">
        <w:rPr>
          <w:lang w:val="en-AU"/>
        </w:rPr>
        <w:t xml:space="preserve">available to represent faults in </w:t>
      </w:r>
      <w:r w:rsidR="00BC6A88" w:rsidRPr="002A7BAB">
        <w:rPr>
          <w:lang w:val="en-AU"/>
        </w:rPr>
        <w:t>EPM</w:t>
      </w:r>
      <w:r w:rsidR="00527351" w:rsidRPr="002A7BAB">
        <w:rPr>
          <w:lang w:val="en-AU"/>
        </w:rPr>
        <w:t xml:space="preserve"> models, include</w:t>
      </w:r>
      <w:r w:rsidR="00E62102" w:rsidRPr="002A7BAB">
        <w:rPr>
          <w:lang w:val="en-AU"/>
        </w:rPr>
        <w:t>:</w:t>
      </w:r>
    </w:p>
    <w:p w14:paraId="55091B32" w14:textId="71D96A3C" w:rsidR="00527351" w:rsidRPr="006F4023" w:rsidRDefault="00421CF0" w:rsidP="00613D01">
      <w:pPr>
        <w:pStyle w:val="BodyText"/>
        <w:numPr>
          <w:ilvl w:val="0"/>
          <w:numId w:val="26"/>
        </w:numPr>
        <w:rPr>
          <w:lang w:val="en-AU"/>
        </w:rPr>
      </w:pPr>
      <w:r w:rsidRPr="006F4023">
        <w:rPr>
          <w:lang w:val="en-AU"/>
        </w:rPr>
        <w:t>M</w:t>
      </w:r>
      <w:r w:rsidR="00973959" w:rsidRPr="0038473D">
        <w:rPr>
          <w:lang w:val="en-AU"/>
        </w:rPr>
        <w:t xml:space="preserve">odifying the conductance between neighbouring model cells </w:t>
      </w:r>
      <w:proofErr w:type="gramStart"/>
      <w:r w:rsidR="00973959" w:rsidRPr="0038473D">
        <w:rPr>
          <w:lang w:val="en-AU"/>
        </w:rPr>
        <w:t>in order to</w:t>
      </w:r>
      <w:proofErr w:type="gramEnd"/>
      <w:r w:rsidR="00973959" w:rsidRPr="0038473D">
        <w:rPr>
          <w:lang w:val="en-AU"/>
        </w:rPr>
        <w:t xml:space="preserve"> represent barriers or conduits to flow</w:t>
      </w:r>
      <w:r w:rsidR="00E62102" w:rsidRPr="006F4023">
        <w:rPr>
          <w:lang w:val="en-AU"/>
        </w:rPr>
        <w:t xml:space="preserve">. An example is the </w:t>
      </w:r>
      <w:r w:rsidRPr="006F4023">
        <w:rPr>
          <w:lang w:val="en-AU"/>
        </w:rPr>
        <w:t xml:space="preserve">horizontal flow barriers </w:t>
      </w:r>
      <w:r w:rsidR="00E62102" w:rsidRPr="006F4023">
        <w:rPr>
          <w:lang w:val="en-AU"/>
        </w:rPr>
        <w:t xml:space="preserve">or </w:t>
      </w:r>
      <w:r w:rsidRPr="006F4023">
        <w:rPr>
          <w:lang w:val="en-AU"/>
        </w:rPr>
        <w:t>HFB package in MODFLOW</w:t>
      </w:r>
      <w:r w:rsidR="00EC5DE7" w:rsidRPr="006F4023">
        <w:rPr>
          <w:lang w:val="en-AU"/>
        </w:rPr>
        <w:t xml:space="preserve"> (</w:t>
      </w:r>
      <w:r w:rsidR="009A24EA" w:rsidRPr="006F4023">
        <w:rPr>
          <w:lang w:val="en-AU"/>
        </w:rPr>
        <w:t xml:space="preserve">Hsieh and </w:t>
      </w:r>
      <w:proofErr w:type="spellStart"/>
      <w:r w:rsidR="009A24EA" w:rsidRPr="006F4023">
        <w:rPr>
          <w:lang w:val="en-AU"/>
        </w:rPr>
        <w:t>Freckleton</w:t>
      </w:r>
      <w:proofErr w:type="spellEnd"/>
      <w:r w:rsidR="00EC5DE7" w:rsidRPr="006F4023">
        <w:rPr>
          <w:lang w:val="en-AU"/>
        </w:rPr>
        <w:t xml:space="preserve">, </w:t>
      </w:r>
      <w:r w:rsidR="009A24EA" w:rsidRPr="006F4023">
        <w:rPr>
          <w:lang w:val="en-AU"/>
        </w:rPr>
        <w:t>1993</w:t>
      </w:r>
      <w:r w:rsidRPr="006F4023">
        <w:rPr>
          <w:lang w:val="en-AU"/>
        </w:rPr>
        <w:t xml:space="preserve">) </w:t>
      </w:r>
      <w:r w:rsidR="00E62102" w:rsidRPr="006F4023">
        <w:rPr>
          <w:lang w:val="en-AU"/>
        </w:rPr>
        <w:t>that</w:t>
      </w:r>
      <w:r w:rsidRPr="0038473D">
        <w:rPr>
          <w:lang w:val="en-AU"/>
        </w:rPr>
        <w:t xml:space="preserve"> can be used to represent faults which serve as a barrie</w:t>
      </w:r>
      <w:r w:rsidR="00A108E2" w:rsidRPr="0038473D">
        <w:rPr>
          <w:lang w:val="en-AU"/>
        </w:rPr>
        <w:t>r in a</w:t>
      </w:r>
      <w:r w:rsidR="00A108E2" w:rsidRPr="006F4023">
        <w:rPr>
          <w:lang w:val="en-AU"/>
        </w:rPr>
        <w:t xml:space="preserve"> relatively straightforward manner</w:t>
      </w:r>
      <w:r w:rsidRPr="006F4023">
        <w:rPr>
          <w:lang w:val="en-AU"/>
        </w:rPr>
        <w:t xml:space="preserve">.  </w:t>
      </w:r>
      <w:r w:rsidR="00E62102" w:rsidRPr="006F4023">
        <w:rPr>
          <w:lang w:val="en-AU"/>
        </w:rPr>
        <w:t>A</w:t>
      </w:r>
      <w:r w:rsidRPr="006F4023">
        <w:rPr>
          <w:lang w:val="en-AU"/>
        </w:rPr>
        <w:t xml:space="preserve"> disadvantage of these methods </w:t>
      </w:r>
      <w:r w:rsidR="002E3CCF" w:rsidRPr="006F4023">
        <w:rPr>
          <w:lang w:val="en-AU"/>
        </w:rPr>
        <w:t>is</w:t>
      </w:r>
      <w:r w:rsidRPr="006F4023">
        <w:rPr>
          <w:lang w:val="en-AU"/>
        </w:rPr>
        <w:t xml:space="preserve"> that they do not account for more complex fault geometries, particularly those w</w:t>
      </w:r>
      <w:r w:rsidR="002E3CCF" w:rsidRPr="006F4023">
        <w:rPr>
          <w:lang w:val="en-AU"/>
        </w:rPr>
        <w:t>h</w:t>
      </w:r>
      <w:r w:rsidRPr="006F4023">
        <w:rPr>
          <w:lang w:val="en-AU"/>
        </w:rPr>
        <w:t xml:space="preserve">ere the fault may serve as both a barrier to flow in one direction, and as a conduit to flow up and along the </w:t>
      </w:r>
      <w:proofErr w:type="gramStart"/>
      <w:r w:rsidRPr="006F4023">
        <w:rPr>
          <w:lang w:val="en-AU"/>
        </w:rPr>
        <w:t>fault</w:t>
      </w:r>
      <w:r w:rsidR="00A44E58" w:rsidRPr="006F4023">
        <w:rPr>
          <w:lang w:val="en-AU"/>
        </w:rPr>
        <w:t>;</w:t>
      </w:r>
      <w:proofErr w:type="gramEnd"/>
      <w:r w:rsidR="00DB3717" w:rsidRPr="006F4023">
        <w:rPr>
          <w:lang w:val="en-AU"/>
        </w:rPr>
        <w:t xml:space="preserve">  </w:t>
      </w:r>
    </w:p>
    <w:p w14:paraId="1A22D131" w14:textId="4914AFE5" w:rsidR="00F02C1C" w:rsidRPr="006F4023" w:rsidRDefault="00421CF0" w:rsidP="00613D01">
      <w:pPr>
        <w:pStyle w:val="BodyText"/>
        <w:numPr>
          <w:ilvl w:val="0"/>
          <w:numId w:val="26"/>
        </w:numPr>
        <w:rPr>
          <w:lang w:val="en-AU"/>
        </w:rPr>
      </w:pPr>
      <w:r w:rsidRPr="006F4023">
        <w:rPr>
          <w:lang w:val="en-AU"/>
        </w:rPr>
        <w:t>Another method used in reservoir simulation,</w:t>
      </w:r>
      <w:r w:rsidR="00BC6A88" w:rsidRPr="006F4023">
        <w:rPr>
          <w:lang w:val="en-AU"/>
        </w:rPr>
        <w:t xml:space="preserve"> described by</w:t>
      </w:r>
      <w:r w:rsidRPr="006F4023">
        <w:rPr>
          <w:lang w:val="en-AU"/>
        </w:rPr>
        <w:t xml:space="preserve"> </w:t>
      </w:r>
      <w:proofErr w:type="spellStart"/>
      <w:r w:rsidRPr="006F4023">
        <w:rPr>
          <w:lang w:val="en-AU"/>
        </w:rPr>
        <w:t>Manzochhi</w:t>
      </w:r>
      <w:proofErr w:type="spellEnd"/>
      <w:r w:rsidRPr="006F4023">
        <w:rPr>
          <w:lang w:val="en-AU"/>
        </w:rPr>
        <w:t xml:space="preserve"> et al</w:t>
      </w:r>
      <w:r w:rsidR="00EC5DE7" w:rsidRPr="006F4023">
        <w:rPr>
          <w:lang w:val="en-AU"/>
        </w:rPr>
        <w:t>.</w:t>
      </w:r>
      <w:r w:rsidRPr="006F4023">
        <w:rPr>
          <w:lang w:val="en-AU"/>
        </w:rPr>
        <w:t xml:space="preserve"> (2010)</w:t>
      </w:r>
      <w:r w:rsidR="00E62102" w:rsidRPr="006F4023">
        <w:rPr>
          <w:lang w:val="en-AU"/>
        </w:rPr>
        <w:t>,</w:t>
      </w:r>
      <w:r w:rsidRPr="0038473D">
        <w:rPr>
          <w:lang w:val="en-AU"/>
        </w:rPr>
        <w:t xml:space="preserve"> relies on the introduction of so-called “transmissibility multipliers” to cell connections which cross fault planes. </w:t>
      </w:r>
      <w:r w:rsidR="00DB3717" w:rsidRPr="006F4023">
        <w:rPr>
          <w:lang w:val="en-AU"/>
        </w:rPr>
        <w:t xml:space="preserve"> This allows</w:t>
      </w:r>
      <w:r w:rsidR="009318CD" w:rsidRPr="006F4023">
        <w:rPr>
          <w:lang w:val="en-AU"/>
        </w:rPr>
        <w:t xml:space="preserve"> representation of</w:t>
      </w:r>
      <w:r w:rsidR="00DB3717" w:rsidRPr="006F4023">
        <w:rPr>
          <w:lang w:val="en-AU"/>
        </w:rPr>
        <w:t xml:space="preserve"> fault</w:t>
      </w:r>
      <w:r w:rsidR="009318CD" w:rsidRPr="006F4023">
        <w:rPr>
          <w:lang w:val="en-AU"/>
        </w:rPr>
        <w:t>s</w:t>
      </w:r>
      <w:r w:rsidR="00DB3717" w:rsidRPr="006F4023">
        <w:rPr>
          <w:lang w:val="en-AU"/>
        </w:rPr>
        <w:t xml:space="preserve"> serving as both a barrier and </w:t>
      </w:r>
      <w:r w:rsidR="009318CD" w:rsidRPr="006F4023">
        <w:rPr>
          <w:lang w:val="en-AU"/>
        </w:rPr>
        <w:t xml:space="preserve">conduit to groundwater </w:t>
      </w:r>
      <w:r w:rsidR="00DB3717" w:rsidRPr="006F4023">
        <w:rPr>
          <w:lang w:val="en-AU"/>
        </w:rPr>
        <w:t xml:space="preserve">flow. </w:t>
      </w:r>
      <w:r w:rsidRPr="006F4023">
        <w:rPr>
          <w:lang w:val="en-AU"/>
        </w:rPr>
        <w:t xml:space="preserve"> Calculation of these </w:t>
      </w:r>
      <w:r w:rsidR="0032692A" w:rsidRPr="006F4023">
        <w:rPr>
          <w:lang w:val="en-AU"/>
        </w:rPr>
        <w:t xml:space="preserve">multiples </w:t>
      </w:r>
      <w:r w:rsidRPr="006F4023">
        <w:rPr>
          <w:lang w:val="en-AU"/>
        </w:rPr>
        <w:t xml:space="preserve">often follows estimation of fault permeability.  </w:t>
      </w:r>
      <w:r w:rsidR="00DB3717" w:rsidRPr="006F4023">
        <w:rPr>
          <w:lang w:val="en-AU"/>
        </w:rPr>
        <w:t xml:space="preserve">A modified </w:t>
      </w:r>
      <w:proofErr w:type="spellStart"/>
      <w:r w:rsidR="00DB3717" w:rsidRPr="006F4023">
        <w:rPr>
          <w:lang w:val="en-AU"/>
        </w:rPr>
        <w:t>Manzochhi</w:t>
      </w:r>
      <w:proofErr w:type="spellEnd"/>
      <w:r w:rsidR="00DB3717" w:rsidRPr="006F4023">
        <w:rPr>
          <w:lang w:val="en-AU"/>
        </w:rPr>
        <w:t xml:space="preserve"> approach was presented by McCallum et al (2018), to allow for more complex geometries where there may be significant offset of strata</w:t>
      </w:r>
      <w:r w:rsidR="0076797C" w:rsidRPr="006F4023">
        <w:rPr>
          <w:lang w:val="en-AU"/>
        </w:rPr>
        <w:t xml:space="preserve">, but this method </w:t>
      </w:r>
      <w:r w:rsidR="00E62102" w:rsidRPr="006F4023">
        <w:rPr>
          <w:lang w:val="en-AU"/>
        </w:rPr>
        <w:t xml:space="preserve">requires </w:t>
      </w:r>
      <w:r w:rsidR="0076797C" w:rsidRPr="006F4023">
        <w:rPr>
          <w:lang w:val="en-AU"/>
        </w:rPr>
        <w:t>that the geometry is well known</w:t>
      </w:r>
      <w:r w:rsidR="00DB3717" w:rsidRPr="006F4023">
        <w:rPr>
          <w:lang w:val="en-AU"/>
        </w:rPr>
        <w:t>.  This</w:t>
      </w:r>
      <w:r w:rsidR="009318CD" w:rsidRPr="006F4023">
        <w:rPr>
          <w:lang w:val="en-AU"/>
        </w:rPr>
        <w:t xml:space="preserve"> method</w:t>
      </w:r>
      <w:r w:rsidR="00DB3717" w:rsidRPr="006F4023">
        <w:rPr>
          <w:lang w:val="en-AU"/>
        </w:rPr>
        <w:t xml:space="preserve"> </w:t>
      </w:r>
      <w:r w:rsidR="009318CD" w:rsidRPr="006F4023">
        <w:rPr>
          <w:lang w:val="en-AU"/>
        </w:rPr>
        <w:t>could be implemented using MODFLOW6 capabilities.</w:t>
      </w:r>
      <w:r w:rsidR="00F02C1C" w:rsidRPr="006F4023">
        <w:rPr>
          <w:lang w:val="en-AU"/>
        </w:rPr>
        <w:t xml:space="preserve">  </w:t>
      </w:r>
      <w:r w:rsidR="00E62102" w:rsidRPr="006F4023">
        <w:rPr>
          <w:lang w:val="en-AU"/>
        </w:rPr>
        <w:t>N</w:t>
      </w:r>
      <w:r w:rsidR="00F02C1C" w:rsidRPr="006F4023">
        <w:rPr>
          <w:lang w:val="en-AU"/>
        </w:rPr>
        <w:t xml:space="preserve">ote that calculation of multipliers is a complex matter where multiple cells linkages take place along a </w:t>
      </w:r>
      <w:proofErr w:type="gramStart"/>
      <w:r w:rsidR="00F02C1C" w:rsidRPr="006F4023">
        <w:rPr>
          <w:lang w:val="en-AU"/>
        </w:rPr>
        <w:t>fault</w:t>
      </w:r>
      <w:r w:rsidR="00A44E58" w:rsidRPr="006F4023">
        <w:rPr>
          <w:lang w:val="en-AU"/>
        </w:rPr>
        <w:t>;</w:t>
      </w:r>
      <w:proofErr w:type="gramEnd"/>
      <w:r w:rsidR="00F02C1C" w:rsidRPr="006F4023">
        <w:rPr>
          <w:lang w:val="en-AU"/>
        </w:rPr>
        <w:t xml:space="preserve">  </w:t>
      </w:r>
    </w:p>
    <w:p w14:paraId="1496029B" w14:textId="1BD7A62B" w:rsidR="00A108E2" w:rsidRPr="006F4023" w:rsidRDefault="009318CD" w:rsidP="00613D01">
      <w:pPr>
        <w:pStyle w:val="BodyText"/>
        <w:numPr>
          <w:ilvl w:val="0"/>
          <w:numId w:val="26"/>
        </w:numPr>
        <w:rPr>
          <w:lang w:val="en-AU"/>
        </w:rPr>
      </w:pPr>
      <w:r w:rsidRPr="006F4023">
        <w:rPr>
          <w:lang w:val="en-AU"/>
        </w:rPr>
        <w:t xml:space="preserve">Regional model grid cells properties </w:t>
      </w:r>
      <w:r w:rsidR="009D4C8C" w:rsidRPr="006F4023">
        <w:rPr>
          <w:lang w:val="en-AU"/>
        </w:rPr>
        <w:t>can</w:t>
      </w:r>
      <w:r w:rsidR="00A108E2" w:rsidRPr="006F4023">
        <w:rPr>
          <w:lang w:val="en-AU"/>
        </w:rPr>
        <w:t xml:space="preserve"> also</w:t>
      </w:r>
      <w:r w:rsidR="009D4C8C" w:rsidRPr="006F4023">
        <w:rPr>
          <w:lang w:val="en-AU"/>
        </w:rPr>
        <w:t xml:space="preserve"> be adjusted </w:t>
      </w:r>
      <w:r w:rsidR="00D16561" w:rsidRPr="006F4023">
        <w:rPr>
          <w:lang w:val="en-AU"/>
        </w:rPr>
        <w:t xml:space="preserve">so that the horizontal permeability and vertical permeabilities represent a fault which represents both a barrier and a conduit.  This requires </w:t>
      </w:r>
      <w:r w:rsidR="002E3CCF" w:rsidRPr="006F4023">
        <w:rPr>
          <w:lang w:val="en-AU"/>
        </w:rPr>
        <w:t xml:space="preserve">initially </w:t>
      </w:r>
      <w:r w:rsidR="00D16561" w:rsidRPr="006F4023">
        <w:rPr>
          <w:lang w:val="en-AU"/>
        </w:rPr>
        <w:t xml:space="preserve">calculating the fault parameters </w:t>
      </w:r>
      <w:proofErr w:type="gramStart"/>
      <w:r w:rsidR="00D16561" w:rsidRPr="006F4023">
        <w:rPr>
          <w:lang w:val="en-AU"/>
        </w:rPr>
        <w:t>e.g.</w:t>
      </w:r>
      <w:proofErr w:type="gramEnd"/>
      <w:r w:rsidR="00D16561" w:rsidRPr="006F4023">
        <w:rPr>
          <w:lang w:val="en-AU"/>
        </w:rPr>
        <w:t xml:space="preserve"> using the method as outlined in </w:t>
      </w:r>
      <w:proofErr w:type="spellStart"/>
      <w:r w:rsidR="00D16561" w:rsidRPr="006F4023">
        <w:rPr>
          <w:lang w:val="en-AU"/>
        </w:rPr>
        <w:t>Bense</w:t>
      </w:r>
      <w:proofErr w:type="spellEnd"/>
      <w:r w:rsidR="00D16561" w:rsidRPr="006F4023">
        <w:rPr>
          <w:lang w:val="en-AU"/>
        </w:rPr>
        <w:t xml:space="preserve"> and Person (2006), and then adjusting the regional model cells to </w:t>
      </w:r>
      <w:r w:rsidRPr="006F4023">
        <w:rPr>
          <w:lang w:val="en-AU"/>
        </w:rPr>
        <w:t xml:space="preserve">accommodate the fault zone permeability within the host rock.  </w:t>
      </w:r>
      <w:r w:rsidR="00D16561" w:rsidRPr="006F4023">
        <w:rPr>
          <w:lang w:val="en-AU"/>
        </w:rPr>
        <w:t xml:space="preserve">The horizontal and vertical permeabilities of the fault-affected cell are then modified </w:t>
      </w:r>
      <w:proofErr w:type="gramStart"/>
      <w:r w:rsidR="00D16561" w:rsidRPr="006F4023">
        <w:rPr>
          <w:lang w:val="en-AU"/>
        </w:rPr>
        <w:t>in order to</w:t>
      </w:r>
      <w:proofErr w:type="gramEnd"/>
      <w:r w:rsidR="00D16561" w:rsidRPr="006F4023">
        <w:rPr>
          <w:lang w:val="en-AU"/>
        </w:rPr>
        <w:t xml:space="preserve"> accommodate the presence of the core zone, taking into account the fraction of the cell that this zone occupies, as dictated by its thickness.  This was used in Cui et al (2018), and O</w:t>
      </w:r>
      <w:r w:rsidR="00125F91" w:rsidRPr="006F4023">
        <w:rPr>
          <w:lang w:val="en-AU"/>
        </w:rPr>
        <w:t>GIA</w:t>
      </w:r>
      <w:r w:rsidR="00D16561" w:rsidRPr="006F4023">
        <w:rPr>
          <w:lang w:val="en-AU"/>
        </w:rPr>
        <w:t xml:space="preserve"> (2019) </w:t>
      </w:r>
      <w:r w:rsidR="00A72695" w:rsidRPr="006F4023">
        <w:rPr>
          <w:lang w:val="en-AU"/>
        </w:rPr>
        <w:t xml:space="preserve">using a </w:t>
      </w:r>
      <w:r w:rsidR="00D16561" w:rsidRPr="006F4023">
        <w:rPr>
          <w:lang w:val="en-AU"/>
        </w:rPr>
        <w:t xml:space="preserve">methodology </w:t>
      </w:r>
      <w:r w:rsidR="00A72695" w:rsidRPr="006F4023">
        <w:rPr>
          <w:lang w:val="en-AU"/>
        </w:rPr>
        <w:t xml:space="preserve">reported by </w:t>
      </w:r>
      <w:r w:rsidR="00D16561" w:rsidRPr="006F4023">
        <w:rPr>
          <w:lang w:val="en-AU"/>
        </w:rPr>
        <w:t>Watermark Numerical Computing</w:t>
      </w:r>
      <w:r w:rsidR="00A44E58" w:rsidRPr="006F4023">
        <w:rPr>
          <w:lang w:val="en-AU"/>
        </w:rPr>
        <w:t>; and</w:t>
      </w:r>
      <w:r w:rsidR="00A108E2" w:rsidRPr="006F4023">
        <w:rPr>
          <w:lang w:val="en-AU"/>
        </w:rPr>
        <w:t xml:space="preserve">  </w:t>
      </w:r>
    </w:p>
    <w:p w14:paraId="3373DE05" w14:textId="00D2018B" w:rsidR="009318CD" w:rsidRPr="006F4023" w:rsidRDefault="009318CD" w:rsidP="00613D01">
      <w:pPr>
        <w:pStyle w:val="BodyText"/>
        <w:numPr>
          <w:ilvl w:val="0"/>
          <w:numId w:val="26"/>
        </w:numPr>
        <w:rPr>
          <w:lang w:val="en-AU"/>
        </w:rPr>
      </w:pPr>
      <w:r w:rsidRPr="006F4023">
        <w:rPr>
          <w:lang w:val="en-AU"/>
        </w:rPr>
        <w:t xml:space="preserve">Finally, faults </w:t>
      </w:r>
      <w:r w:rsidR="00A108E2" w:rsidRPr="006F4023">
        <w:rPr>
          <w:lang w:val="en-AU"/>
        </w:rPr>
        <w:t>can be</w:t>
      </w:r>
      <w:r w:rsidRPr="006F4023">
        <w:rPr>
          <w:lang w:val="en-AU"/>
        </w:rPr>
        <w:t xml:space="preserve"> represented explicitly by actual cells</w:t>
      </w:r>
      <w:r w:rsidR="00A108E2" w:rsidRPr="006F4023">
        <w:rPr>
          <w:lang w:val="en-AU"/>
        </w:rPr>
        <w:t xml:space="preserve"> in a</w:t>
      </w:r>
      <w:r w:rsidR="00BC6A88" w:rsidRPr="006F4023">
        <w:rPr>
          <w:lang w:val="en-AU"/>
        </w:rPr>
        <w:t>n EPM</w:t>
      </w:r>
      <w:r w:rsidR="00A108E2" w:rsidRPr="006F4023">
        <w:rPr>
          <w:lang w:val="en-AU"/>
        </w:rPr>
        <w:t xml:space="preserve"> model.  </w:t>
      </w:r>
      <w:r w:rsidRPr="006F4023">
        <w:rPr>
          <w:lang w:val="en-AU"/>
        </w:rPr>
        <w:t>The main advantages of this method are that conduit flow behaviour can be accurately represented while also allowing for horizontal bypass of less permeable layers along fault planes. The drawback is that</w:t>
      </w:r>
      <w:r w:rsidR="00BE1EE9" w:rsidRPr="006F4023">
        <w:rPr>
          <w:lang w:val="en-AU"/>
        </w:rPr>
        <w:t xml:space="preserve"> </w:t>
      </w:r>
      <w:r w:rsidRPr="006F4023">
        <w:rPr>
          <w:lang w:val="en-AU"/>
        </w:rPr>
        <w:t xml:space="preserve">the explicit representation of the fault or faults increases the number of cells in the model </w:t>
      </w:r>
      <w:r w:rsidR="001B132C" w:rsidRPr="006F4023">
        <w:rPr>
          <w:lang w:val="en-AU"/>
        </w:rPr>
        <w:t xml:space="preserve">significantly, </w:t>
      </w:r>
      <w:r w:rsidRPr="006F4023">
        <w:rPr>
          <w:lang w:val="en-AU"/>
        </w:rPr>
        <w:t>result</w:t>
      </w:r>
      <w:r w:rsidR="00254A94" w:rsidRPr="006F4023">
        <w:rPr>
          <w:lang w:val="en-AU"/>
        </w:rPr>
        <w:t>ing</w:t>
      </w:r>
      <w:r w:rsidRPr="006F4023">
        <w:rPr>
          <w:lang w:val="en-AU"/>
        </w:rPr>
        <w:t xml:space="preserve"> in greater computational burden</w:t>
      </w:r>
      <w:r w:rsidR="00254A94" w:rsidRPr="006F4023">
        <w:rPr>
          <w:lang w:val="en-AU"/>
        </w:rPr>
        <w:t>s</w:t>
      </w:r>
      <w:r w:rsidR="00BC6A88" w:rsidRPr="006F4023">
        <w:rPr>
          <w:lang w:val="en-AU"/>
        </w:rPr>
        <w:t>. The resulting computational load is</w:t>
      </w:r>
      <w:r w:rsidR="001B132C" w:rsidRPr="006F4023">
        <w:rPr>
          <w:lang w:val="en-AU"/>
        </w:rPr>
        <w:t xml:space="preserve"> often not practicable</w:t>
      </w:r>
      <w:r w:rsidR="00A95B15" w:rsidRPr="006F4023">
        <w:rPr>
          <w:lang w:val="en-AU"/>
        </w:rPr>
        <w:t xml:space="preserve"> to work with in history matching or uncertainty quantification procedures which require many </w:t>
      </w:r>
      <w:proofErr w:type="gramStart"/>
      <w:r w:rsidR="00A95B15" w:rsidRPr="006F4023">
        <w:rPr>
          <w:lang w:val="en-AU"/>
        </w:rPr>
        <w:t>model</w:t>
      </w:r>
      <w:proofErr w:type="gramEnd"/>
      <w:r w:rsidR="00A95B15" w:rsidRPr="006F4023">
        <w:rPr>
          <w:lang w:val="en-AU"/>
        </w:rPr>
        <w:t xml:space="preserve"> runs</w:t>
      </w:r>
      <w:r w:rsidRPr="006F4023">
        <w:rPr>
          <w:lang w:val="en-AU"/>
        </w:rPr>
        <w:t>.</w:t>
      </w:r>
      <w:r w:rsidR="00254A94" w:rsidRPr="006F4023">
        <w:rPr>
          <w:lang w:val="en-AU"/>
        </w:rPr>
        <w:t xml:space="preserve">  </w:t>
      </w:r>
    </w:p>
    <w:p w14:paraId="0638E6E1" w14:textId="77777777" w:rsidR="00016ACD" w:rsidRPr="002A7BAB" w:rsidRDefault="00254A94" w:rsidP="00613D01">
      <w:pPr>
        <w:pStyle w:val="BodyText"/>
        <w:rPr>
          <w:lang w:val="en-AU"/>
        </w:rPr>
      </w:pPr>
      <w:proofErr w:type="gramStart"/>
      <w:r w:rsidRPr="002A7BAB">
        <w:rPr>
          <w:lang w:val="en-AU"/>
        </w:rPr>
        <w:t>All of</w:t>
      </w:r>
      <w:proofErr w:type="gramEnd"/>
      <w:r w:rsidRPr="002A7BAB">
        <w:rPr>
          <w:lang w:val="en-AU"/>
        </w:rPr>
        <w:t xml:space="preserve"> these parameterisation devices can be represented using spatially distributed parameters to allow the heterogeneity of the fault to be expressed</w:t>
      </w:r>
      <w:r w:rsidR="00016ACD" w:rsidRPr="002A7BAB">
        <w:rPr>
          <w:lang w:val="en-AU"/>
        </w:rPr>
        <w:t xml:space="preserve">, such as </w:t>
      </w:r>
      <w:r w:rsidRPr="002A7BAB">
        <w:rPr>
          <w:lang w:val="en-AU"/>
        </w:rPr>
        <w:t xml:space="preserve">pilot points (Doherty </w:t>
      </w:r>
      <w:r w:rsidR="005729C4" w:rsidRPr="002A7BAB">
        <w:rPr>
          <w:lang w:val="en-AU"/>
        </w:rPr>
        <w:t>2015</w:t>
      </w:r>
      <w:r w:rsidRPr="002A7BAB">
        <w:rPr>
          <w:lang w:val="en-AU"/>
        </w:rPr>
        <w:t>), or grid</w:t>
      </w:r>
      <w:r w:rsidR="0088757D" w:rsidRPr="002A7BAB">
        <w:rPr>
          <w:lang w:val="en-AU"/>
        </w:rPr>
        <w:t>-</w:t>
      </w:r>
      <w:r w:rsidRPr="002A7BAB">
        <w:rPr>
          <w:lang w:val="en-AU"/>
        </w:rPr>
        <w:t>cell based parameters.</w:t>
      </w:r>
      <w:r w:rsidR="00016ACD" w:rsidRPr="002A7BAB">
        <w:rPr>
          <w:lang w:val="en-AU"/>
        </w:rPr>
        <w:t xml:space="preserve">  </w:t>
      </w:r>
    </w:p>
    <w:p w14:paraId="4FFE044E" w14:textId="77777777" w:rsidR="00FC261A" w:rsidRPr="006F4023" w:rsidRDefault="00764419" w:rsidP="007E2D6E">
      <w:pPr>
        <w:pStyle w:val="Heading3Numbered"/>
      </w:pPr>
      <w:bookmarkStart w:id="401" w:name="_Toc66967204"/>
      <w:r w:rsidRPr="006F4023">
        <w:lastRenderedPageBreak/>
        <w:t>History matching and uncert</w:t>
      </w:r>
      <w:r w:rsidRPr="0038473D">
        <w:t>ainty quantification</w:t>
      </w:r>
      <w:bookmarkEnd w:id="401"/>
      <w:r w:rsidR="00FC261A" w:rsidRPr="006F4023">
        <w:tab/>
      </w:r>
    </w:p>
    <w:p w14:paraId="35496FAF" w14:textId="61CB273F" w:rsidR="00764419" w:rsidRPr="002A7BAB" w:rsidRDefault="000B1900" w:rsidP="00613D01">
      <w:pPr>
        <w:pStyle w:val="BodyText"/>
        <w:rPr>
          <w:lang w:val="en-AU"/>
        </w:rPr>
      </w:pPr>
      <w:r w:rsidRPr="002A7BAB">
        <w:rPr>
          <w:lang w:val="en-AU"/>
        </w:rPr>
        <w:t>T</w:t>
      </w:r>
      <w:r w:rsidR="006172C7" w:rsidRPr="002A7BAB">
        <w:rPr>
          <w:lang w:val="en-AU"/>
        </w:rPr>
        <w:t xml:space="preserve">he above </w:t>
      </w:r>
      <w:r w:rsidR="00BC6A88" w:rsidRPr="002A7BAB">
        <w:rPr>
          <w:lang w:val="en-AU"/>
        </w:rPr>
        <w:t>EPM</w:t>
      </w:r>
      <w:r w:rsidR="006172C7" w:rsidRPr="002A7BAB">
        <w:rPr>
          <w:lang w:val="en-AU"/>
        </w:rPr>
        <w:t xml:space="preserve"> parameter devices have the advantage of being able to be conditioned </w:t>
      </w:r>
      <w:r w:rsidR="004906AB" w:rsidRPr="002A7BAB">
        <w:rPr>
          <w:lang w:val="en-AU"/>
        </w:rPr>
        <w:t>with</w:t>
      </w:r>
      <w:r w:rsidR="006172C7" w:rsidRPr="002A7BAB">
        <w:rPr>
          <w:lang w:val="en-AU"/>
        </w:rPr>
        <w:t xml:space="preserve"> history matching</w:t>
      </w:r>
      <w:r w:rsidR="004906AB" w:rsidRPr="002A7BAB">
        <w:rPr>
          <w:lang w:val="en-AU"/>
        </w:rPr>
        <w:t xml:space="preserve"> </w:t>
      </w:r>
      <w:r w:rsidR="00781CE7" w:rsidRPr="002A7BAB">
        <w:rPr>
          <w:lang w:val="en-AU"/>
        </w:rPr>
        <w:t xml:space="preserve">and uncertainty quantification </w:t>
      </w:r>
      <w:r w:rsidR="00812019" w:rsidRPr="002A7BAB">
        <w:rPr>
          <w:lang w:val="en-AU"/>
        </w:rPr>
        <w:t>procedures</w:t>
      </w:r>
      <w:r w:rsidR="00FD2AB3" w:rsidRPr="002A7BAB">
        <w:rPr>
          <w:lang w:val="en-AU"/>
        </w:rPr>
        <w:t xml:space="preserve"> implemented via the widely adopted continuously d</w:t>
      </w:r>
      <w:r w:rsidR="006172C7" w:rsidRPr="002A7BAB">
        <w:rPr>
          <w:lang w:val="en-AU"/>
        </w:rPr>
        <w:t>ifferentiable methods such as</w:t>
      </w:r>
      <w:r w:rsidR="00781CE7" w:rsidRPr="002A7BAB">
        <w:rPr>
          <w:lang w:val="en-AU"/>
        </w:rPr>
        <w:t xml:space="preserve"> found in</w:t>
      </w:r>
      <w:r w:rsidR="006172C7" w:rsidRPr="002A7BAB">
        <w:rPr>
          <w:lang w:val="en-AU"/>
        </w:rPr>
        <w:t xml:space="preserve"> PEST and PEST++ (</w:t>
      </w:r>
      <w:r w:rsidR="00307523" w:rsidRPr="002A7BAB">
        <w:rPr>
          <w:lang w:val="en-AU"/>
        </w:rPr>
        <w:t xml:space="preserve">Doherty 2015; </w:t>
      </w:r>
      <w:r w:rsidR="006172C7" w:rsidRPr="002A7BAB">
        <w:rPr>
          <w:lang w:val="en-AU"/>
        </w:rPr>
        <w:t xml:space="preserve">Doherty </w:t>
      </w:r>
      <w:r w:rsidR="00307523" w:rsidRPr="002A7BAB">
        <w:rPr>
          <w:lang w:val="en-AU"/>
        </w:rPr>
        <w:t>2018;</w:t>
      </w:r>
      <w:r w:rsidR="006172C7" w:rsidRPr="002A7BAB">
        <w:rPr>
          <w:lang w:val="en-AU"/>
        </w:rPr>
        <w:t xml:space="preserve"> </w:t>
      </w:r>
      <w:r w:rsidR="00307523" w:rsidRPr="002A7BAB">
        <w:rPr>
          <w:lang w:val="en-AU"/>
        </w:rPr>
        <w:t>White et al. 2020)</w:t>
      </w:r>
      <w:r w:rsidR="006172C7" w:rsidRPr="002A7BAB">
        <w:rPr>
          <w:lang w:val="en-AU"/>
        </w:rPr>
        <w:t xml:space="preserve">. </w:t>
      </w:r>
      <w:r w:rsidR="004906AB" w:rsidRPr="002A7BAB">
        <w:rPr>
          <w:lang w:val="en-AU"/>
        </w:rPr>
        <w:t>However,</w:t>
      </w:r>
      <w:r w:rsidR="00CA36B5" w:rsidRPr="002A7BAB">
        <w:rPr>
          <w:lang w:val="en-AU"/>
        </w:rPr>
        <w:t xml:space="preserve"> </w:t>
      </w:r>
      <w:r w:rsidR="00DA7380" w:rsidRPr="002A7BAB">
        <w:rPr>
          <w:lang w:val="en-AU"/>
        </w:rPr>
        <w:t>the</w:t>
      </w:r>
      <w:r w:rsidR="00CA36B5" w:rsidRPr="002A7BAB">
        <w:rPr>
          <w:lang w:val="en-AU"/>
        </w:rPr>
        <w:t xml:space="preserve"> </w:t>
      </w:r>
      <w:r w:rsidR="008E5F05" w:rsidRPr="002A7BAB">
        <w:rPr>
          <w:lang w:val="en-AU"/>
        </w:rPr>
        <w:t>d</w:t>
      </w:r>
      <w:r w:rsidR="00002CAE" w:rsidRPr="002A7BAB">
        <w:rPr>
          <w:lang w:val="en-AU"/>
        </w:rPr>
        <w:t>etermination of</w:t>
      </w:r>
      <w:r w:rsidR="008E5F05" w:rsidRPr="002A7BAB">
        <w:rPr>
          <w:lang w:val="en-AU"/>
        </w:rPr>
        <w:t xml:space="preserve"> </w:t>
      </w:r>
      <w:r w:rsidR="00002CAE" w:rsidRPr="002A7BAB">
        <w:rPr>
          <w:lang w:val="en-AU"/>
        </w:rPr>
        <w:t xml:space="preserve">aquifer </w:t>
      </w:r>
      <w:r w:rsidR="008E5F05" w:rsidRPr="002A7BAB">
        <w:rPr>
          <w:lang w:val="en-AU"/>
        </w:rPr>
        <w:t xml:space="preserve">and fault </w:t>
      </w:r>
      <w:r w:rsidR="00002CAE" w:rsidRPr="002A7BAB">
        <w:rPr>
          <w:lang w:val="en-AU"/>
        </w:rPr>
        <w:t>parameters at</w:t>
      </w:r>
      <w:r w:rsidR="008E5F05" w:rsidRPr="002A7BAB">
        <w:rPr>
          <w:lang w:val="en-AU"/>
        </w:rPr>
        <w:t xml:space="preserve"> EPM</w:t>
      </w:r>
      <w:r w:rsidR="00002CAE" w:rsidRPr="002A7BAB">
        <w:rPr>
          <w:lang w:val="en-AU"/>
        </w:rPr>
        <w:t xml:space="preserve"> scales</w:t>
      </w:r>
      <w:r w:rsidR="00781CE7" w:rsidRPr="002A7BAB">
        <w:rPr>
          <w:lang w:val="en-AU"/>
        </w:rPr>
        <w:t xml:space="preserve"> to underpin uncertainty quantification</w:t>
      </w:r>
      <w:r w:rsidR="008E5F05" w:rsidRPr="002A7BAB">
        <w:rPr>
          <w:lang w:val="en-AU"/>
        </w:rPr>
        <w:t xml:space="preserve"> </w:t>
      </w:r>
      <w:r w:rsidR="00002CAE" w:rsidRPr="002A7BAB">
        <w:rPr>
          <w:lang w:val="en-AU"/>
        </w:rPr>
        <w:t>can be difficult</w:t>
      </w:r>
      <w:r w:rsidR="00CA36B5" w:rsidRPr="002A7BAB">
        <w:rPr>
          <w:lang w:val="en-AU"/>
        </w:rPr>
        <w:t xml:space="preserve">. </w:t>
      </w:r>
      <w:r w:rsidR="00764419" w:rsidRPr="002A7BAB">
        <w:rPr>
          <w:lang w:val="en-AU"/>
        </w:rPr>
        <w:t xml:space="preserve"> As mentioned above numerical experiments can be used to support the estimation of such upscaled or abstract parameter values and their stochastic distribution</w:t>
      </w:r>
      <w:r w:rsidR="00FD2AB3" w:rsidRPr="002A7BAB">
        <w:rPr>
          <w:lang w:val="en-AU"/>
        </w:rPr>
        <w:t xml:space="preserve">, but this </w:t>
      </w:r>
      <w:r w:rsidR="00764419" w:rsidRPr="002A7BAB">
        <w:rPr>
          <w:lang w:val="en-AU"/>
        </w:rPr>
        <w:t>represents a significant computational commitment</w:t>
      </w:r>
      <w:r w:rsidR="004906AB" w:rsidRPr="002A7BAB">
        <w:rPr>
          <w:lang w:val="en-AU"/>
        </w:rPr>
        <w:t>.</w:t>
      </w:r>
      <w:r w:rsidR="00CA36B5" w:rsidRPr="002A7BAB">
        <w:rPr>
          <w:lang w:val="en-AU"/>
        </w:rPr>
        <w:t xml:space="preserve">  Alternatively, where </w:t>
      </w:r>
      <w:r w:rsidR="00A159AF" w:rsidRPr="002A7BAB">
        <w:rPr>
          <w:lang w:val="en-AU"/>
        </w:rPr>
        <w:t>there</w:t>
      </w:r>
      <w:r w:rsidR="00CA36B5" w:rsidRPr="002A7BAB">
        <w:rPr>
          <w:lang w:val="en-AU"/>
        </w:rPr>
        <w:t xml:space="preserve"> is sufficient data that is of a similar type to the </w:t>
      </w:r>
      <w:proofErr w:type="gramStart"/>
      <w:r w:rsidR="00CA36B5" w:rsidRPr="002A7BAB">
        <w:rPr>
          <w:lang w:val="en-AU"/>
        </w:rPr>
        <w:t>prediction, and</w:t>
      </w:r>
      <w:proofErr w:type="gramEnd"/>
      <w:r w:rsidR="00CA36B5" w:rsidRPr="002A7BAB">
        <w:rPr>
          <w:lang w:val="en-AU"/>
        </w:rPr>
        <w:t xml:space="preserve"> collected under similar stress regimes as in the past, then history matching </w:t>
      </w:r>
      <w:r w:rsidR="00F60842" w:rsidRPr="002A7BAB">
        <w:rPr>
          <w:lang w:val="en-AU"/>
        </w:rPr>
        <w:t xml:space="preserve">with a conservative allowance for the upscaled parameter uncertainty, </w:t>
      </w:r>
      <w:r w:rsidR="00002CAE" w:rsidRPr="002A7BAB">
        <w:rPr>
          <w:lang w:val="en-AU"/>
        </w:rPr>
        <w:t xml:space="preserve">may be sufficient.  </w:t>
      </w:r>
      <w:r w:rsidR="008E5F05" w:rsidRPr="002A7BAB">
        <w:rPr>
          <w:lang w:val="en-AU"/>
        </w:rPr>
        <w:t>Another alternative is to use a very small parameter discretisation that is commensurate with the hydraulic property heterogeneity, however this is not practicable computationally</w:t>
      </w:r>
      <w:r w:rsidR="00FD2AB3" w:rsidRPr="002A7BAB">
        <w:rPr>
          <w:lang w:val="en-AU"/>
        </w:rPr>
        <w:t xml:space="preserve"> for large scale problems</w:t>
      </w:r>
      <w:r w:rsidR="008E5F05" w:rsidRPr="002A7BAB">
        <w:rPr>
          <w:lang w:val="en-AU"/>
        </w:rPr>
        <w:t>. Cook (2003) recommends adopting site and parameter characterisation field methods that correspond to the scale of the risk</w:t>
      </w:r>
      <w:r w:rsidR="00DA7380" w:rsidRPr="002A7BAB">
        <w:rPr>
          <w:lang w:val="en-AU"/>
        </w:rPr>
        <w:t xml:space="preserve"> </w:t>
      </w:r>
      <w:r w:rsidR="008E5F05" w:rsidRPr="002A7BAB">
        <w:rPr>
          <w:lang w:val="en-AU"/>
        </w:rPr>
        <w:t xml:space="preserve">the model </w:t>
      </w:r>
      <w:r w:rsidR="00DA7380" w:rsidRPr="002A7BAB">
        <w:rPr>
          <w:lang w:val="en-AU"/>
        </w:rPr>
        <w:t xml:space="preserve">being used to assess </w:t>
      </w:r>
      <w:r w:rsidR="008E5F05" w:rsidRPr="002A7BAB">
        <w:rPr>
          <w:lang w:val="en-AU"/>
        </w:rPr>
        <w:t>(</w:t>
      </w:r>
      <w:proofErr w:type="gramStart"/>
      <w:r w:rsidR="008E5F05" w:rsidRPr="002A7BAB">
        <w:rPr>
          <w:lang w:val="en-AU"/>
        </w:rPr>
        <w:t>e.g.</w:t>
      </w:r>
      <w:proofErr w:type="gramEnd"/>
      <w:r w:rsidR="008E5F05" w:rsidRPr="002A7BAB">
        <w:rPr>
          <w:lang w:val="en-AU"/>
        </w:rPr>
        <w:t xml:space="preserve"> </w:t>
      </w:r>
      <w:r w:rsidR="006C7EEF">
        <w:rPr>
          <w:lang w:val="en-AU"/>
        </w:rPr>
        <w:fldChar w:fldCharType="begin"/>
      </w:r>
      <w:r w:rsidR="006C7EEF">
        <w:rPr>
          <w:lang w:val="en-AU"/>
        </w:rPr>
        <w:instrText xml:space="preserve"> REF _Ref57021776 \h </w:instrText>
      </w:r>
      <w:r w:rsidR="006C7EEF">
        <w:rPr>
          <w:lang w:val="en-AU"/>
        </w:rPr>
      </w:r>
      <w:r w:rsidR="006C7EEF">
        <w:rPr>
          <w:lang w:val="en-AU"/>
        </w:rPr>
        <w:fldChar w:fldCharType="separate"/>
      </w:r>
      <w:r w:rsidR="00047351" w:rsidRPr="006F4023">
        <w:t xml:space="preserve">Figure </w:t>
      </w:r>
      <w:r w:rsidR="00047351">
        <w:rPr>
          <w:noProof/>
        </w:rPr>
        <w:t>3</w:t>
      </w:r>
      <w:r w:rsidR="006C7EEF">
        <w:rPr>
          <w:lang w:val="en-AU"/>
        </w:rPr>
        <w:fldChar w:fldCharType="end"/>
      </w:r>
      <w:r w:rsidR="008E5F05" w:rsidRPr="002A7BAB">
        <w:rPr>
          <w:lang w:val="en-AU"/>
        </w:rPr>
        <w:t xml:space="preserve">). </w:t>
      </w:r>
      <w:r w:rsidR="00965CE8" w:rsidRPr="002A7BAB">
        <w:rPr>
          <w:lang w:val="en-AU"/>
        </w:rPr>
        <w:t>As with fault modelling methods in general, e</w:t>
      </w:r>
      <w:r w:rsidR="008E5F05" w:rsidRPr="002A7BAB">
        <w:rPr>
          <w:lang w:val="en-AU"/>
        </w:rPr>
        <w:t>s</w:t>
      </w:r>
      <w:r w:rsidR="00002CAE" w:rsidRPr="002A7BAB">
        <w:rPr>
          <w:lang w:val="en-AU"/>
        </w:rPr>
        <w:t xml:space="preserve">timating </w:t>
      </w:r>
      <w:r w:rsidR="008E5F05" w:rsidRPr="002A7BAB">
        <w:rPr>
          <w:lang w:val="en-AU"/>
        </w:rPr>
        <w:t xml:space="preserve">upscaled parameter distributions </w:t>
      </w:r>
      <w:r w:rsidR="00002CAE" w:rsidRPr="002A7BAB">
        <w:rPr>
          <w:lang w:val="en-AU"/>
        </w:rPr>
        <w:t>remains an area of current research</w:t>
      </w:r>
      <w:r w:rsidR="00965CE8" w:rsidRPr="002A7BAB">
        <w:rPr>
          <w:lang w:val="en-AU"/>
        </w:rPr>
        <w:t xml:space="preserve"> that is evolving</w:t>
      </w:r>
      <w:r w:rsidR="00002CAE" w:rsidRPr="002A7BAB">
        <w:rPr>
          <w:lang w:val="en-AU"/>
        </w:rPr>
        <w:t>.</w:t>
      </w:r>
      <w:r w:rsidR="00F60842" w:rsidRPr="002A7BAB">
        <w:rPr>
          <w:lang w:val="en-AU"/>
        </w:rPr>
        <w:t xml:space="preserve">  </w:t>
      </w:r>
      <w:r w:rsidR="00CA36B5" w:rsidRPr="002A7BAB">
        <w:rPr>
          <w:lang w:val="en-AU"/>
        </w:rPr>
        <w:t xml:space="preserve">  </w:t>
      </w:r>
    </w:p>
    <w:p w14:paraId="5D4E6836" w14:textId="77777777" w:rsidR="00FC261A" w:rsidRPr="0038473D" w:rsidRDefault="00253A65" w:rsidP="007E2D6E">
      <w:pPr>
        <w:pStyle w:val="Heading2Numbered"/>
      </w:pPr>
      <w:bookmarkStart w:id="402" w:name="_Toc66967205"/>
      <w:r w:rsidRPr="006F4023">
        <w:t>Dual continuum models</w:t>
      </w:r>
      <w:bookmarkEnd w:id="402"/>
      <w:r w:rsidR="0054790A" w:rsidRPr="0038473D">
        <w:t xml:space="preserve"> </w:t>
      </w:r>
    </w:p>
    <w:p w14:paraId="2400BF14" w14:textId="2A30DF53" w:rsidR="000820FC" w:rsidRPr="002A7BAB" w:rsidRDefault="00F063FC" w:rsidP="00613D01">
      <w:pPr>
        <w:pStyle w:val="BodyText"/>
        <w:rPr>
          <w:lang w:val="en-AU"/>
        </w:rPr>
      </w:pPr>
      <w:r w:rsidRPr="002A7BAB">
        <w:rPr>
          <w:lang w:val="en-AU"/>
        </w:rPr>
        <w:t xml:space="preserve">Dual continuum models rely on representing dual flow </w:t>
      </w:r>
      <w:r w:rsidR="009E59A2" w:rsidRPr="002A7BAB">
        <w:rPr>
          <w:lang w:val="en-AU"/>
        </w:rPr>
        <w:t>regimes</w:t>
      </w:r>
      <w:r w:rsidRPr="002A7BAB">
        <w:rPr>
          <w:lang w:val="en-AU"/>
        </w:rPr>
        <w:t xml:space="preserve">, one through </w:t>
      </w:r>
      <w:r w:rsidR="00283DA1" w:rsidRPr="002A7BAB">
        <w:rPr>
          <w:lang w:val="en-AU"/>
        </w:rPr>
        <w:t xml:space="preserve">a </w:t>
      </w:r>
      <w:r w:rsidRPr="002A7BAB">
        <w:rPr>
          <w:lang w:val="en-AU"/>
        </w:rPr>
        <w:t xml:space="preserve">fracture network and the other through a matrix.  </w:t>
      </w:r>
      <w:r w:rsidR="009E59A2" w:rsidRPr="002A7BAB">
        <w:rPr>
          <w:lang w:val="en-AU"/>
        </w:rPr>
        <w:t>One flow regime represents the rock matrix, which has a small hydraulic conductivity and a large porosity (diffuse flow regime); the other regime has a large hydraulic conductivity and small porosity to represent the higher velocity flow (conduit or pipe flow) through fractures</w:t>
      </w:r>
      <w:r w:rsidR="0032692A" w:rsidRPr="002A7BAB">
        <w:rPr>
          <w:lang w:val="en-AU"/>
        </w:rPr>
        <w:t xml:space="preserve"> (assuming they are open)</w:t>
      </w:r>
      <w:r w:rsidR="009E59A2" w:rsidRPr="002A7BAB">
        <w:rPr>
          <w:lang w:val="en-AU"/>
        </w:rPr>
        <w:t xml:space="preserve">.  Fractures may be represented </w:t>
      </w:r>
      <w:r w:rsidR="000820FC" w:rsidRPr="002A7BAB">
        <w:rPr>
          <w:lang w:val="en-AU"/>
        </w:rPr>
        <w:t xml:space="preserve">explicitly in space, </w:t>
      </w:r>
      <w:proofErr w:type="gramStart"/>
      <w:r w:rsidR="009E59A2" w:rsidRPr="002A7BAB">
        <w:rPr>
          <w:lang w:val="en-AU"/>
        </w:rPr>
        <w:t>e.g.</w:t>
      </w:r>
      <w:proofErr w:type="gramEnd"/>
      <w:r w:rsidR="009E59A2" w:rsidRPr="002A7BAB">
        <w:rPr>
          <w:lang w:val="en-AU"/>
        </w:rPr>
        <w:t xml:space="preserve"> using a</w:t>
      </w:r>
      <w:r w:rsidR="000820FC" w:rsidRPr="002A7BAB">
        <w:rPr>
          <w:lang w:val="en-AU"/>
        </w:rPr>
        <w:t xml:space="preserve"> </w:t>
      </w:r>
      <w:r w:rsidR="009E59A2" w:rsidRPr="002A7BAB">
        <w:rPr>
          <w:lang w:val="en-AU"/>
        </w:rPr>
        <w:t>d</w:t>
      </w:r>
      <w:r w:rsidR="000820FC" w:rsidRPr="002A7BAB">
        <w:rPr>
          <w:lang w:val="en-AU"/>
        </w:rPr>
        <w:t xml:space="preserve">iscrete </w:t>
      </w:r>
      <w:r w:rsidR="009E59A2" w:rsidRPr="002A7BAB">
        <w:rPr>
          <w:lang w:val="en-AU"/>
        </w:rPr>
        <w:t>f</w:t>
      </w:r>
      <w:r w:rsidR="000820FC" w:rsidRPr="002A7BAB">
        <w:rPr>
          <w:lang w:val="en-AU"/>
        </w:rPr>
        <w:t xml:space="preserve">racture network.  </w:t>
      </w:r>
      <w:r w:rsidR="009E59A2" w:rsidRPr="002A7BAB">
        <w:rPr>
          <w:lang w:val="en-AU"/>
        </w:rPr>
        <w:t>Alternatively, fractures may</w:t>
      </w:r>
      <w:r w:rsidR="00A159AF" w:rsidRPr="002A7BAB">
        <w:rPr>
          <w:lang w:val="en-AU"/>
        </w:rPr>
        <w:t xml:space="preserve"> </w:t>
      </w:r>
      <w:r w:rsidR="009E59A2" w:rsidRPr="002A7BAB">
        <w:rPr>
          <w:lang w:val="en-AU"/>
        </w:rPr>
        <w:t xml:space="preserve">be represented implicitly using a dual porosity representation. </w:t>
      </w:r>
      <w:r w:rsidR="00DA7380" w:rsidRPr="002A7BAB">
        <w:rPr>
          <w:lang w:val="en-AU"/>
        </w:rPr>
        <w:t>Reservoir simulators such as Eclipse, Schlumberger (2020), and CMG-GEM, CGM (2020) used by the oil and gas industry are examples of dual continuum models.</w:t>
      </w:r>
      <w:r w:rsidR="009E59A2" w:rsidRPr="002A7BAB">
        <w:rPr>
          <w:lang w:val="en-AU"/>
        </w:rPr>
        <w:t xml:space="preserve"> </w:t>
      </w:r>
      <w:bookmarkStart w:id="403" w:name="_Hlk47079774"/>
      <w:r w:rsidR="00DB6849" w:rsidRPr="002A7BAB">
        <w:rPr>
          <w:lang w:val="en-AU"/>
        </w:rPr>
        <w:t xml:space="preserve">These approaches can be useful where </w:t>
      </w:r>
      <w:r w:rsidR="000C0E99" w:rsidRPr="002A7BAB">
        <w:rPr>
          <w:lang w:val="en-AU"/>
        </w:rPr>
        <w:t>the impact predictions are sensitive to the processes occurring in the fracture and matrix flow regimes</w:t>
      </w:r>
      <w:bookmarkEnd w:id="403"/>
      <w:r w:rsidR="000C0E99" w:rsidRPr="002A7BAB">
        <w:rPr>
          <w:lang w:val="en-AU"/>
        </w:rPr>
        <w:t>.</w:t>
      </w:r>
    </w:p>
    <w:p w14:paraId="4BAF257A" w14:textId="77777777" w:rsidR="0054790A" w:rsidRPr="0038473D" w:rsidRDefault="009E59A2" w:rsidP="007E2D6E">
      <w:pPr>
        <w:pStyle w:val="Heading3Numbered"/>
      </w:pPr>
      <w:bookmarkStart w:id="404" w:name="_Toc66967206"/>
      <w:bookmarkStart w:id="405" w:name="_Toc42765134"/>
      <w:r w:rsidRPr="006F4023">
        <w:t>Parameterisation devices</w:t>
      </w:r>
      <w:bookmarkEnd w:id="404"/>
      <w:r w:rsidR="0054790A" w:rsidRPr="0038473D">
        <w:t xml:space="preserve"> </w:t>
      </w:r>
    </w:p>
    <w:p w14:paraId="193D908A" w14:textId="0A1119D9" w:rsidR="000C0E99" w:rsidRPr="002A7BAB" w:rsidRDefault="000C0E99" w:rsidP="00613D01">
      <w:pPr>
        <w:pStyle w:val="BodyText"/>
        <w:rPr>
          <w:lang w:val="en-AU"/>
        </w:rPr>
      </w:pPr>
      <w:r w:rsidRPr="002A7BAB">
        <w:rPr>
          <w:lang w:val="en-AU"/>
        </w:rPr>
        <w:t xml:space="preserve">The </w:t>
      </w:r>
      <w:r w:rsidR="00083F87" w:rsidRPr="002A7BAB">
        <w:rPr>
          <w:lang w:val="en-AU"/>
        </w:rPr>
        <w:t>methods</w:t>
      </w:r>
      <w:r w:rsidRPr="002A7BAB">
        <w:rPr>
          <w:lang w:val="en-AU"/>
        </w:rPr>
        <w:t xml:space="preserve"> available to represent faults in dual continuum models include</w:t>
      </w:r>
      <w:r w:rsidR="00083F87" w:rsidRPr="002A7BAB">
        <w:rPr>
          <w:lang w:val="en-AU"/>
        </w:rPr>
        <w:t>:</w:t>
      </w:r>
    </w:p>
    <w:p w14:paraId="21C8E2E5" w14:textId="75DC4DF5" w:rsidR="00DB717D" w:rsidRPr="006F4023" w:rsidRDefault="000C0E99" w:rsidP="00613D01">
      <w:pPr>
        <w:pStyle w:val="BodyText"/>
        <w:numPr>
          <w:ilvl w:val="0"/>
          <w:numId w:val="26"/>
        </w:numPr>
        <w:rPr>
          <w:lang w:val="en-AU"/>
        </w:rPr>
      </w:pPr>
      <w:r w:rsidRPr="006F4023">
        <w:rPr>
          <w:lang w:val="en-AU"/>
        </w:rPr>
        <w:t>D</w:t>
      </w:r>
      <w:r w:rsidRPr="0038473D">
        <w:rPr>
          <w:lang w:val="en-AU"/>
        </w:rPr>
        <w:t xml:space="preserve">iscrete </w:t>
      </w:r>
      <w:r w:rsidR="00DB717D" w:rsidRPr="0038473D">
        <w:rPr>
          <w:lang w:val="en-AU"/>
        </w:rPr>
        <w:t xml:space="preserve">fracture network </w:t>
      </w:r>
      <w:r w:rsidR="003B182D" w:rsidRPr="0038473D">
        <w:rPr>
          <w:lang w:val="en-AU"/>
        </w:rPr>
        <w:t xml:space="preserve">(DFN) </w:t>
      </w:r>
      <w:r w:rsidR="00DB717D" w:rsidRPr="006F4023">
        <w:rPr>
          <w:lang w:val="en-AU"/>
        </w:rPr>
        <w:t>models</w:t>
      </w:r>
      <w:r w:rsidR="00DB6849" w:rsidRPr="006F4023">
        <w:rPr>
          <w:lang w:val="en-AU"/>
        </w:rPr>
        <w:t>,</w:t>
      </w:r>
      <w:r w:rsidR="00DB717D" w:rsidRPr="006F4023">
        <w:rPr>
          <w:lang w:val="en-AU"/>
        </w:rPr>
        <w:t xml:space="preserve"> </w:t>
      </w:r>
      <w:r w:rsidR="0003177D">
        <w:rPr>
          <w:lang w:val="en-AU"/>
        </w:rPr>
        <w:t xml:space="preserve">such as </w:t>
      </w:r>
      <w:proofErr w:type="spellStart"/>
      <w:r w:rsidR="0003177D">
        <w:rPr>
          <w:lang w:val="en-AU"/>
        </w:rPr>
        <w:t>FracMan</w:t>
      </w:r>
      <w:proofErr w:type="spellEnd"/>
      <w:r w:rsidR="0003177D">
        <w:rPr>
          <w:lang w:val="en-AU"/>
        </w:rPr>
        <w:t xml:space="preserve"> (Golder Associates, 2019), </w:t>
      </w:r>
      <w:r w:rsidR="00DB717D" w:rsidRPr="006F4023">
        <w:rPr>
          <w:lang w:val="en-AU"/>
        </w:rPr>
        <w:t xml:space="preserve">explicitly represent fracture flow, </w:t>
      </w:r>
      <w:r w:rsidRPr="006F4023">
        <w:rPr>
          <w:lang w:val="en-AU"/>
        </w:rPr>
        <w:t>as through connected conduits or pipe networks.  T</w:t>
      </w:r>
      <w:r w:rsidR="00DB717D" w:rsidRPr="006F4023">
        <w:rPr>
          <w:lang w:val="en-AU"/>
        </w:rPr>
        <w:t xml:space="preserve">hese methods require fracture </w:t>
      </w:r>
      <w:r w:rsidR="00083F87" w:rsidRPr="006F4023">
        <w:rPr>
          <w:lang w:val="en-AU"/>
        </w:rPr>
        <w:t xml:space="preserve">to be described either discretely or stochastically with </w:t>
      </w:r>
      <w:r w:rsidR="00DB717D" w:rsidRPr="006F4023">
        <w:rPr>
          <w:lang w:val="en-AU"/>
        </w:rPr>
        <w:t>properties including aperture, orientation and length</w:t>
      </w:r>
      <w:r w:rsidR="0090628D" w:rsidRPr="006F4023">
        <w:rPr>
          <w:lang w:val="en-AU"/>
        </w:rPr>
        <w:t xml:space="preserve"> (</w:t>
      </w:r>
      <w:proofErr w:type="gramStart"/>
      <w:r w:rsidR="00235163" w:rsidRPr="006F4023">
        <w:rPr>
          <w:lang w:val="en-AU"/>
        </w:rPr>
        <w:t>i.e.</w:t>
      </w:r>
      <w:proofErr w:type="gramEnd"/>
      <w:r w:rsidR="0090628D" w:rsidRPr="006F4023">
        <w:rPr>
          <w:lang w:val="en-AU"/>
        </w:rPr>
        <w:t xml:space="preserve"> continuity)</w:t>
      </w:r>
      <w:r w:rsidR="001A0F73" w:rsidRPr="006F4023">
        <w:rPr>
          <w:lang w:val="en-AU"/>
        </w:rPr>
        <w:t xml:space="preserve"> to be parameterised</w:t>
      </w:r>
      <w:r w:rsidR="00DB717D" w:rsidRPr="006F4023">
        <w:rPr>
          <w:lang w:val="en-AU"/>
        </w:rPr>
        <w:t>. Flow through</w:t>
      </w:r>
      <w:r w:rsidR="00B40F25" w:rsidRPr="006F4023">
        <w:rPr>
          <w:lang w:val="en-AU"/>
        </w:rPr>
        <w:t xml:space="preserve"> </w:t>
      </w:r>
      <w:r w:rsidR="00DB717D" w:rsidRPr="006F4023">
        <w:rPr>
          <w:lang w:val="en-AU"/>
        </w:rPr>
        <w:t xml:space="preserve">each fracture </w:t>
      </w:r>
      <w:r w:rsidR="00B40F25" w:rsidRPr="006F4023">
        <w:rPr>
          <w:lang w:val="en-AU"/>
        </w:rPr>
        <w:t>can then be</w:t>
      </w:r>
      <w:r w:rsidR="00DB717D" w:rsidRPr="006F4023">
        <w:rPr>
          <w:lang w:val="en-AU"/>
        </w:rPr>
        <w:t xml:space="preserve"> treated as being equivalent to flow between two uniform plates</w:t>
      </w:r>
      <w:r w:rsidR="00B40F25" w:rsidRPr="006F4023">
        <w:rPr>
          <w:lang w:val="en-AU"/>
        </w:rPr>
        <w:t xml:space="preserve"> </w:t>
      </w:r>
      <w:r w:rsidR="00DB717D" w:rsidRPr="006F4023">
        <w:rPr>
          <w:lang w:val="en-AU"/>
        </w:rPr>
        <w:t>with separation equivalent to the aperture of the fracture</w:t>
      </w:r>
      <w:r w:rsidR="00B40F25" w:rsidRPr="006F4023">
        <w:rPr>
          <w:lang w:val="en-AU"/>
        </w:rPr>
        <w:t>.</w:t>
      </w:r>
      <w:r w:rsidR="00CC7227" w:rsidRPr="006F4023">
        <w:rPr>
          <w:lang w:val="en-AU"/>
        </w:rPr>
        <w:t xml:space="preserve">  </w:t>
      </w:r>
      <w:r w:rsidR="00083F87" w:rsidRPr="006F4023">
        <w:rPr>
          <w:lang w:val="en-AU"/>
        </w:rPr>
        <w:t>A</w:t>
      </w:r>
      <w:r w:rsidR="00CC7227" w:rsidRPr="006F4023">
        <w:rPr>
          <w:lang w:val="en-AU"/>
        </w:rPr>
        <w:t>pplication</w:t>
      </w:r>
      <w:r w:rsidRPr="006F4023">
        <w:rPr>
          <w:lang w:val="en-AU"/>
        </w:rPr>
        <w:t xml:space="preserve"> of this approach</w:t>
      </w:r>
      <w:r w:rsidR="00CC7227" w:rsidRPr="006F4023">
        <w:rPr>
          <w:lang w:val="en-AU"/>
        </w:rPr>
        <w:t xml:space="preserve"> is generally limited by the data available</w:t>
      </w:r>
      <w:r w:rsidRPr="006F4023">
        <w:rPr>
          <w:lang w:val="en-AU"/>
        </w:rPr>
        <w:t xml:space="preserve"> </w:t>
      </w:r>
      <w:r w:rsidR="00CC7227" w:rsidRPr="006F4023">
        <w:rPr>
          <w:lang w:val="en-AU"/>
        </w:rPr>
        <w:t>on fractures as well as the ability to extrapolate properties from smaller scale</w:t>
      </w:r>
      <w:r w:rsidRPr="006F4023">
        <w:rPr>
          <w:lang w:val="en-AU"/>
        </w:rPr>
        <w:t xml:space="preserve"> </w:t>
      </w:r>
      <w:r w:rsidR="00CC7227" w:rsidRPr="006F4023">
        <w:rPr>
          <w:lang w:val="en-AU"/>
        </w:rPr>
        <w:t xml:space="preserve">tests to larger regions of interest. </w:t>
      </w:r>
      <w:r w:rsidRPr="006F4023">
        <w:rPr>
          <w:lang w:val="en-AU"/>
        </w:rPr>
        <w:t xml:space="preserve"> </w:t>
      </w:r>
      <w:r w:rsidR="0003177D">
        <w:rPr>
          <w:lang w:val="en-AU"/>
        </w:rPr>
        <w:t>D</w:t>
      </w:r>
      <w:r w:rsidRPr="006F4023">
        <w:rPr>
          <w:lang w:val="en-AU"/>
        </w:rPr>
        <w:t xml:space="preserve">iscrete </w:t>
      </w:r>
      <w:r w:rsidR="003B182D" w:rsidRPr="006F4023">
        <w:rPr>
          <w:lang w:val="en-AU"/>
        </w:rPr>
        <w:t>f</w:t>
      </w:r>
      <w:r w:rsidRPr="006F4023">
        <w:rPr>
          <w:lang w:val="en-AU"/>
        </w:rPr>
        <w:t xml:space="preserve">racture network models </w:t>
      </w:r>
      <w:r w:rsidR="0003177D">
        <w:rPr>
          <w:lang w:val="en-AU"/>
        </w:rPr>
        <w:t xml:space="preserve">can be </w:t>
      </w:r>
      <w:r w:rsidRPr="006F4023">
        <w:rPr>
          <w:lang w:val="en-AU"/>
        </w:rPr>
        <w:t xml:space="preserve">used in numerical studies </w:t>
      </w:r>
      <w:r w:rsidR="00995764" w:rsidRPr="006F4023">
        <w:rPr>
          <w:lang w:val="en-AU"/>
        </w:rPr>
        <w:t xml:space="preserve">to derive </w:t>
      </w:r>
      <w:r w:rsidR="0003177D">
        <w:rPr>
          <w:lang w:val="en-AU"/>
        </w:rPr>
        <w:t xml:space="preserve">representative </w:t>
      </w:r>
      <w:r w:rsidR="00083F87" w:rsidRPr="006F4023">
        <w:rPr>
          <w:lang w:val="en-AU"/>
        </w:rPr>
        <w:t xml:space="preserve">3D </w:t>
      </w:r>
      <w:r w:rsidR="0003177D">
        <w:rPr>
          <w:lang w:val="en-AU"/>
        </w:rPr>
        <w:t>EPM parameters</w:t>
      </w:r>
      <w:r w:rsidR="00083F87" w:rsidRPr="006F4023">
        <w:rPr>
          <w:lang w:val="en-AU"/>
        </w:rPr>
        <w:t xml:space="preserve"> </w:t>
      </w:r>
      <w:r w:rsidR="00EC5DE7" w:rsidRPr="006F4023">
        <w:rPr>
          <w:lang w:val="en-AU"/>
        </w:rPr>
        <w:t xml:space="preserve">that </w:t>
      </w:r>
      <w:r w:rsidR="0003177D">
        <w:rPr>
          <w:lang w:val="en-AU"/>
        </w:rPr>
        <w:t xml:space="preserve">are then applied </w:t>
      </w:r>
      <w:r w:rsidR="00EC5DE7" w:rsidRPr="006F4023">
        <w:rPr>
          <w:lang w:val="en-AU"/>
        </w:rPr>
        <w:t xml:space="preserve">to </w:t>
      </w:r>
      <w:r w:rsidR="0003177D">
        <w:rPr>
          <w:lang w:val="en-AU"/>
        </w:rPr>
        <w:t>simulate the effects of fractures without representing individual discrete features</w:t>
      </w:r>
      <w:r w:rsidR="003B182D" w:rsidRPr="006F4023">
        <w:rPr>
          <w:lang w:val="en-AU"/>
        </w:rPr>
        <w:t>. For example, Oda (1985) presents an upscaling method to estimate the permeability tensor in fractured rocks that is implemented in some DFN modelling codes</w:t>
      </w:r>
      <w:r w:rsidR="00A44E58" w:rsidRPr="006F4023">
        <w:rPr>
          <w:lang w:val="en-AU"/>
        </w:rPr>
        <w:t>; and</w:t>
      </w:r>
      <w:r w:rsidRPr="006F4023">
        <w:rPr>
          <w:lang w:val="en-AU"/>
        </w:rPr>
        <w:t xml:space="preserve"> </w:t>
      </w:r>
    </w:p>
    <w:p w14:paraId="6B718041" w14:textId="63206915" w:rsidR="000C0E99" w:rsidRPr="006F4023" w:rsidRDefault="00466519" w:rsidP="00613D01">
      <w:pPr>
        <w:pStyle w:val="BodyText"/>
        <w:numPr>
          <w:ilvl w:val="0"/>
          <w:numId w:val="26"/>
        </w:numPr>
        <w:rPr>
          <w:lang w:val="en-AU"/>
        </w:rPr>
      </w:pPr>
      <w:r w:rsidRPr="006F4023">
        <w:rPr>
          <w:lang w:val="en-AU"/>
        </w:rPr>
        <w:t>Dual porosity model</w:t>
      </w:r>
      <w:r w:rsidRPr="0038473D">
        <w:rPr>
          <w:lang w:val="en-AU"/>
        </w:rPr>
        <w:t>s consider the movement of fluids in the matrix and fracture separately, coupling the two sets of flow equations via terms representing the rate of mass transfer between the two domains</w:t>
      </w:r>
      <w:r w:rsidR="00DF54EE" w:rsidRPr="006F4023">
        <w:rPr>
          <w:lang w:val="en-AU"/>
        </w:rPr>
        <w:t xml:space="preserve">.  This method is simpler to set up and implement than discrete fracture </w:t>
      </w:r>
      <w:proofErr w:type="gramStart"/>
      <w:r w:rsidR="00DF54EE" w:rsidRPr="006F4023">
        <w:rPr>
          <w:lang w:val="en-AU"/>
        </w:rPr>
        <w:t>networks, and</w:t>
      </w:r>
      <w:proofErr w:type="gramEnd"/>
      <w:r w:rsidR="00DF54EE" w:rsidRPr="006F4023">
        <w:rPr>
          <w:lang w:val="en-AU"/>
        </w:rPr>
        <w:t xml:space="preserve"> </w:t>
      </w:r>
      <w:r w:rsidR="00552294" w:rsidRPr="006F4023">
        <w:rPr>
          <w:lang w:val="en-AU"/>
        </w:rPr>
        <w:t>is</w:t>
      </w:r>
      <w:r w:rsidR="00DF54EE" w:rsidRPr="006F4023">
        <w:rPr>
          <w:lang w:val="en-AU"/>
        </w:rPr>
        <w:t xml:space="preserve"> able to represent a rapid flow through the fractures, as well as the lag in water released from the matrix under a forcing pressure gradient.  The dual porosity method is most widely used in solute transport.  The application of the method can be limited by its simplicity, as complex spatially varying fracture geometries are unable to be represented.  It is also difficult to determine reasonable parameter estimates for these abstract representations of fracture and matrix flow.    </w:t>
      </w:r>
      <w:r w:rsidR="000C0E99" w:rsidRPr="006F4023">
        <w:rPr>
          <w:lang w:val="en-AU"/>
        </w:rPr>
        <w:t xml:space="preserve"> </w:t>
      </w:r>
    </w:p>
    <w:p w14:paraId="7C52283C" w14:textId="77777777" w:rsidR="00FC261A" w:rsidRPr="006F4023" w:rsidRDefault="00D750BC" w:rsidP="007E2D6E">
      <w:pPr>
        <w:pStyle w:val="Heading3Numbered"/>
      </w:pPr>
      <w:bookmarkStart w:id="406" w:name="_Toc66967207"/>
      <w:r w:rsidRPr="006F4023">
        <w:lastRenderedPageBreak/>
        <w:t>H</w:t>
      </w:r>
      <w:r w:rsidR="00FC261A" w:rsidRPr="006F4023">
        <w:t>istory matching</w:t>
      </w:r>
      <w:bookmarkEnd w:id="405"/>
      <w:r w:rsidRPr="006F4023">
        <w:t xml:space="preserve"> and uncertainty quantification</w:t>
      </w:r>
      <w:bookmarkEnd w:id="406"/>
    </w:p>
    <w:p w14:paraId="76DE71EA" w14:textId="24B54046" w:rsidR="005A323A" w:rsidRPr="002A7BAB" w:rsidRDefault="00FD2AB3" w:rsidP="00613D01">
      <w:pPr>
        <w:pStyle w:val="BodyText"/>
        <w:rPr>
          <w:lang w:val="en-AU"/>
        </w:rPr>
      </w:pPr>
      <w:r w:rsidRPr="002A7BAB">
        <w:rPr>
          <w:lang w:val="en-AU"/>
        </w:rPr>
        <w:t>D</w:t>
      </w:r>
      <w:r w:rsidR="00781CE7" w:rsidRPr="002A7BAB">
        <w:rPr>
          <w:lang w:val="en-AU"/>
        </w:rPr>
        <w:t>ual porosity model</w:t>
      </w:r>
      <w:r w:rsidRPr="002A7BAB">
        <w:rPr>
          <w:lang w:val="en-AU"/>
        </w:rPr>
        <w:t xml:space="preserve"> parameters</w:t>
      </w:r>
      <w:r w:rsidR="00781CE7" w:rsidRPr="002A7BAB">
        <w:rPr>
          <w:lang w:val="en-AU"/>
        </w:rPr>
        <w:t xml:space="preserve"> </w:t>
      </w:r>
      <w:r w:rsidRPr="002A7BAB">
        <w:rPr>
          <w:lang w:val="en-AU"/>
        </w:rPr>
        <w:t xml:space="preserve">and predictions </w:t>
      </w:r>
      <w:proofErr w:type="gramStart"/>
      <w:r w:rsidR="00781CE7" w:rsidRPr="002A7BAB">
        <w:rPr>
          <w:lang w:val="en-AU"/>
        </w:rPr>
        <w:t>are able to</w:t>
      </w:r>
      <w:proofErr w:type="gramEnd"/>
      <w:r w:rsidR="00781CE7" w:rsidRPr="002A7BAB">
        <w:rPr>
          <w:lang w:val="en-AU"/>
        </w:rPr>
        <w:t xml:space="preserve"> be conditioned with history matching </w:t>
      </w:r>
      <w:r w:rsidRPr="002A7BAB">
        <w:rPr>
          <w:lang w:val="en-AU"/>
        </w:rPr>
        <w:t xml:space="preserve">and uncertainty quantification procedures implemented via </w:t>
      </w:r>
      <w:r w:rsidR="00781CE7" w:rsidRPr="002A7BAB">
        <w:rPr>
          <w:lang w:val="en-AU"/>
        </w:rPr>
        <w:t>continuously differentiable parameter estimation methods such as PEST and PEST++ (</w:t>
      </w:r>
      <w:r w:rsidR="00307523" w:rsidRPr="002A7BAB">
        <w:rPr>
          <w:lang w:val="en-AU"/>
        </w:rPr>
        <w:t>Doherty 2015; Doherty 2018; White et al. 2020</w:t>
      </w:r>
      <w:r w:rsidR="00781CE7" w:rsidRPr="002A7BAB">
        <w:rPr>
          <w:lang w:val="en-AU"/>
        </w:rPr>
        <w:t xml:space="preserve">). </w:t>
      </w:r>
      <w:bookmarkStart w:id="407" w:name="_Toc42765135"/>
      <w:r w:rsidR="005A323A" w:rsidRPr="002A7BAB">
        <w:rPr>
          <w:lang w:val="en-AU"/>
        </w:rPr>
        <w:t>As with EPM model parameters, the derivation of reasonable parameter bounds and distributions to underpin uncertainty quantification is difficult</w:t>
      </w:r>
      <w:r w:rsidR="00DB6849" w:rsidRPr="002A7BAB">
        <w:rPr>
          <w:lang w:val="en-AU"/>
        </w:rPr>
        <w:t>,</w:t>
      </w:r>
      <w:r w:rsidR="005A323A" w:rsidRPr="002A7BAB">
        <w:rPr>
          <w:lang w:val="en-AU"/>
        </w:rPr>
        <w:t xml:space="preserve"> and similar methods to ameliorate this </w:t>
      </w:r>
      <w:r w:rsidR="00AD0532" w:rsidRPr="002A7BAB">
        <w:rPr>
          <w:lang w:val="en-AU"/>
        </w:rPr>
        <w:t xml:space="preserve">difficulty </w:t>
      </w:r>
      <w:r w:rsidR="005A323A" w:rsidRPr="002A7BAB">
        <w:rPr>
          <w:lang w:val="en-AU"/>
        </w:rPr>
        <w:t xml:space="preserve">can be adopted for dual porosity models.  </w:t>
      </w:r>
    </w:p>
    <w:p w14:paraId="7BC5C81E" w14:textId="1EDE14C2" w:rsidR="004E5ED5" w:rsidRPr="002A7BAB" w:rsidRDefault="00A20ACC" w:rsidP="00613D01">
      <w:pPr>
        <w:pStyle w:val="BodyText"/>
        <w:rPr>
          <w:lang w:val="en-AU"/>
        </w:rPr>
      </w:pPr>
      <w:r w:rsidRPr="002A7BAB">
        <w:rPr>
          <w:lang w:val="en-AU"/>
        </w:rPr>
        <w:t xml:space="preserve">History matching and uncertainty quantification with discrete fracture models is not </w:t>
      </w:r>
      <w:r w:rsidR="004E5ED5" w:rsidRPr="002A7BAB">
        <w:rPr>
          <w:lang w:val="en-AU"/>
        </w:rPr>
        <w:t xml:space="preserve">likely to be </w:t>
      </w:r>
      <w:r w:rsidRPr="002A7BAB">
        <w:rPr>
          <w:lang w:val="en-AU"/>
        </w:rPr>
        <w:t>practicable</w:t>
      </w:r>
      <w:r w:rsidR="004915C1" w:rsidRPr="002A7BAB">
        <w:rPr>
          <w:lang w:val="en-AU"/>
        </w:rPr>
        <w:t xml:space="preserve"> using the continuum</w:t>
      </w:r>
      <w:r w:rsidR="00552294" w:rsidRPr="002A7BAB">
        <w:rPr>
          <w:lang w:val="en-AU"/>
        </w:rPr>
        <w:t>-</w:t>
      </w:r>
      <w:r w:rsidR="004915C1" w:rsidRPr="002A7BAB">
        <w:rPr>
          <w:lang w:val="en-AU"/>
        </w:rPr>
        <w:t>based methods</w:t>
      </w:r>
      <w:r w:rsidR="00552294" w:rsidRPr="002A7BAB">
        <w:rPr>
          <w:lang w:val="en-AU"/>
        </w:rPr>
        <w:t xml:space="preserve"> in</w:t>
      </w:r>
      <w:r w:rsidR="00D55524" w:rsidRPr="002A7BAB">
        <w:rPr>
          <w:lang w:val="en-AU"/>
        </w:rPr>
        <w:t xml:space="preserve"> PEST and PEST++, where multiple (stochastic) realisations of fracture </w:t>
      </w:r>
      <w:r w:rsidR="00A95A0C" w:rsidRPr="002A7BAB">
        <w:rPr>
          <w:lang w:val="en-AU"/>
        </w:rPr>
        <w:t>networks</w:t>
      </w:r>
      <w:r w:rsidR="00D55524" w:rsidRPr="002A7BAB">
        <w:rPr>
          <w:lang w:val="en-AU"/>
        </w:rPr>
        <w:t xml:space="preserve"> need to be represented. This is because each </w:t>
      </w:r>
      <w:r w:rsidR="00A95A0C" w:rsidRPr="002A7BAB">
        <w:rPr>
          <w:lang w:val="en-AU"/>
        </w:rPr>
        <w:t xml:space="preserve">discrete fracture </w:t>
      </w:r>
      <w:r w:rsidR="00D55524" w:rsidRPr="002A7BAB">
        <w:rPr>
          <w:lang w:val="en-AU"/>
        </w:rPr>
        <w:t>realisation requires a new model grid specific to the dispos</w:t>
      </w:r>
      <w:r w:rsidR="00A95A0C" w:rsidRPr="002A7BAB">
        <w:rPr>
          <w:lang w:val="en-AU"/>
        </w:rPr>
        <w:t>i</w:t>
      </w:r>
      <w:r w:rsidR="00D55524" w:rsidRPr="002A7BAB">
        <w:rPr>
          <w:lang w:val="en-AU"/>
        </w:rPr>
        <w:t xml:space="preserve">tion of the fractures.   History matching and uncertainty analysis coupled with the need to build a new model grid for each realisation, represents a </w:t>
      </w:r>
      <w:r w:rsidR="004E5ED5" w:rsidRPr="002A7BAB">
        <w:rPr>
          <w:lang w:val="en-AU"/>
        </w:rPr>
        <w:t xml:space="preserve">substantial computational </w:t>
      </w:r>
      <w:r w:rsidR="00D55524" w:rsidRPr="002A7BAB">
        <w:rPr>
          <w:lang w:val="en-AU"/>
        </w:rPr>
        <w:t xml:space="preserve">burden.  </w:t>
      </w:r>
      <w:r w:rsidR="004E5ED5" w:rsidRPr="002A7BAB">
        <w:rPr>
          <w:lang w:val="en-AU"/>
        </w:rPr>
        <w:t xml:space="preserve"> </w:t>
      </w:r>
      <w:proofErr w:type="gramStart"/>
      <w:r w:rsidR="00D55524" w:rsidRPr="002A7BAB">
        <w:rPr>
          <w:lang w:val="en-AU"/>
        </w:rPr>
        <w:t>Instead</w:t>
      </w:r>
      <w:proofErr w:type="gramEnd"/>
      <w:r w:rsidR="00D55524" w:rsidRPr="002A7BAB">
        <w:rPr>
          <w:lang w:val="en-AU"/>
        </w:rPr>
        <w:t xml:space="preserve"> history matching</w:t>
      </w:r>
      <w:r w:rsidR="00A95A0C" w:rsidRPr="002A7BAB">
        <w:rPr>
          <w:lang w:val="en-AU"/>
        </w:rPr>
        <w:t xml:space="preserve"> and uncertainty quantification</w:t>
      </w:r>
      <w:r w:rsidR="00D55524" w:rsidRPr="002A7BAB">
        <w:rPr>
          <w:lang w:val="en-AU"/>
        </w:rPr>
        <w:t xml:space="preserve"> methods that</w:t>
      </w:r>
      <w:r w:rsidR="004E5ED5" w:rsidRPr="002A7BAB">
        <w:rPr>
          <w:lang w:val="en-AU"/>
        </w:rPr>
        <w:t xml:space="preserve"> rely more on rejection sampling rather than parameter adjustment </w:t>
      </w:r>
      <w:r w:rsidR="00552294" w:rsidRPr="002A7BAB">
        <w:rPr>
          <w:lang w:val="en-AU"/>
        </w:rPr>
        <w:t>are</w:t>
      </w:r>
      <w:r w:rsidR="004E5ED5" w:rsidRPr="002A7BAB">
        <w:rPr>
          <w:lang w:val="en-AU"/>
        </w:rPr>
        <w:t xml:space="preserve"> often more useful in this context.  </w:t>
      </w:r>
    </w:p>
    <w:p w14:paraId="751AF80C" w14:textId="108C0B69" w:rsidR="00465872" w:rsidRPr="002A7BAB" w:rsidRDefault="00083F87" w:rsidP="00613D01">
      <w:pPr>
        <w:pStyle w:val="BodyText"/>
        <w:rPr>
          <w:lang w:val="en-AU"/>
        </w:rPr>
      </w:pPr>
      <w:r w:rsidRPr="002A7BAB">
        <w:rPr>
          <w:lang w:val="en-AU"/>
        </w:rPr>
        <w:t xml:space="preserve">If </w:t>
      </w:r>
      <w:r w:rsidR="00466519" w:rsidRPr="002A7BAB">
        <w:rPr>
          <w:lang w:val="en-AU"/>
        </w:rPr>
        <w:t>DFN</w:t>
      </w:r>
      <w:r w:rsidR="004E5ED5" w:rsidRPr="002A7BAB">
        <w:rPr>
          <w:lang w:val="en-AU"/>
        </w:rPr>
        <w:t xml:space="preserve"> models are use</w:t>
      </w:r>
      <w:r w:rsidRPr="002A7BAB">
        <w:rPr>
          <w:lang w:val="en-AU"/>
        </w:rPr>
        <w:t>d</w:t>
      </w:r>
      <w:r w:rsidR="004E5ED5" w:rsidRPr="002A7BAB">
        <w:rPr>
          <w:lang w:val="en-AU"/>
        </w:rPr>
        <w:t xml:space="preserve"> in numerical </w:t>
      </w:r>
      <w:r w:rsidRPr="002A7BAB">
        <w:rPr>
          <w:lang w:val="en-AU"/>
        </w:rPr>
        <w:t xml:space="preserve">permeameter </w:t>
      </w:r>
      <w:r w:rsidR="004E5ED5" w:rsidRPr="002A7BAB">
        <w:rPr>
          <w:lang w:val="en-AU"/>
        </w:rPr>
        <w:t xml:space="preserve">studies to derive equivalent </w:t>
      </w:r>
      <w:r w:rsidRPr="002A7BAB">
        <w:rPr>
          <w:lang w:val="en-AU"/>
        </w:rPr>
        <w:t xml:space="preserve">porous media </w:t>
      </w:r>
      <w:r w:rsidR="004E5ED5" w:rsidRPr="002A7BAB">
        <w:rPr>
          <w:lang w:val="en-AU"/>
        </w:rPr>
        <w:t>propert</w:t>
      </w:r>
      <w:r w:rsidRPr="002A7BAB">
        <w:rPr>
          <w:lang w:val="en-AU"/>
        </w:rPr>
        <w:t>ies,</w:t>
      </w:r>
      <w:r w:rsidR="004E5ED5" w:rsidRPr="002A7BAB">
        <w:rPr>
          <w:lang w:val="en-AU"/>
        </w:rPr>
        <w:t xml:space="preserve"> </w:t>
      </w:r>
      <w:r w:rsidRPr="002A7BAB">
        <w:rPr>
          <w:lang w:val="en-AU"/>
        </w:rPr>
        <w:t>then h</w:t>
      </w:r>
      <w:r w:rsidR="004E5ED5" w:rsidRPr="002A7BAB">
        <w:rPr>
          <w:lang w:val="en-AU"/>
        </w:rPr>
        <w:t xml:space="preserve">istory matching can be undertaken using continuum approaches. It is important to remember when selecting a modelling approach, that representing fault details is not the same as representing the effects of the </w:t>
      </w:r>
      <w:proofErr w:type="gramStart"/>
      <w:r w:rsidR="004E5ED5" w:rsidRPr="002A7BAB">
        <w:rPr>
          <w:lang w:val="en-AU"/>
        </w:rPr>
        <w:t>fault</w:t>
      </w:r>
      <w:r w:rsidR="007E73B4" w:rsidRPr="002A7BAB">
        <w:rPr>
          <w:lang w:val="en-AU"/>
        </w:rPr>
        <w:t>, and</w:t>
      </w:r>
      <w:proofErr w:type="gramEnd"/>
      <w:r w:rsidR="007E73B4" w:rsidRPr="002A7BAB">
        <w:rPr>
          <w:lang w:val="en-AU"/>
        </w:rPr>
        <w:t xml:space="preserve"> hardwiring of imperfectly known geological fault detail can </w:t>
      </w:r>
      <w:r w:rsidRPr="002A7BAB">
        <w:rPr>
          <w:lang w:val="en-AU"/>
        </w:rPr>
        <w:t>impede</w:t>
      </w:r>
      <w:r w:rsidRPr="002A7BAB" w:rsidDel="00083F87">
        <w:rPr>
          <w:lang w:val="en-AU"/>
        </w:rPr>
        <w:t xml:space="preserve"> </w:t>
      </w:r>
      <w:r w:rsidR="007E73B4" w:rsidRPr="002A7BAB">
        <w:rPr>
          <w:lang w:val="en-AU"/>
        </w:rPr>
        <w:t xml:space="preserve">rather than enable the flow of information from data, and </w:t>
      </w:r>
      <w:r w:rsidRPr="002A7BAB">
        <w:rPr>
          <w:lang w:val="en-AU"/>
        </w:rPr>
        <w:t xml:space="preserve">reduce the </w:t>
      </w:r>
      <w:r w:rsidR="007E73B4" w:rsidRPr="002A7BAB">
        <w:rPr>
          <w:lang w:val="en-AU"/>
        </w:rPr>
        <w:t>ability to express the uncertainty of predictions</w:t>
      </w:r>
      <w:r w:rsidR="004E5ED5" w:rsidRPr="002A7BAB">
        <w:rPr>
          <w:lang w:val="en-AU"/>
        </w:rPr>
        <w:t>.</w:t>
      </w:r>
      <w:r w:rsidR="007E73B4" w:rsidRPr="002A7BAB">
        <w:rPr>
          <w:lang w:val="en-AU"/>
        </w:rPr>
        <w:t xml:space="preserve">  </w:t>
      </w:r>
    </w:p>
    <w:p w14:paraId="26AADF78" w14:textId="77777777" w:rsidR="008A41E2" w:rsidRPr="006F4023" w:rsidRDefault="00465872" w:rsidP="007E2D6E">
      <w:pPr>
        <w:pStyle w:val="Heading2Numbered"/>
      </w:pPr>
      <w:r w:rsidRPr="006F4023" w:rsidDel="00D750BC">
        <w:t xml:space="preserve"> </w:t>
      </w:r>
      <w:bookmarkStart w:id="408" w:name="_Toc66967208"/>
      <w:proofErr w:type="spellStart"/>
      <w:r w:rsidR="008A41E2" w:rsidRPr="0038473D">
        <w:t>Poro</w:t>
      </w:r>
      <w:proofErr w:type="spellEnd"/>
      <w:r w:rsidR="00594069" w:rsidRPr="0038473D">
        <w:t>-</w:t>
      </w:r>
      <w:r w:rsidR="008A41E2" w:rsidRPr="006F4023">
        <w:t>elastic modelling approaches</w:t>
      </w:r>
      <w:bookmarkStart w:id="409" w:name="_Toc19180674"/>
      <w:bookmarkEnd w:id="407"/>
      <w:bookmarkEnd w:id="408"/>
    </w:p>
    <w:bookmarkEnd w:id="409"/>
    <w:p w14:paraId="044BC2DB" w14:textId="679E6969" w:rsidR="009761F9" w:rsidRPr="002A7BAB" w:rsidRDefault="00BD2875" w:rsidP="00613D01">
      <w:pPr>
        <w:pStyle w:val="BodyText"/>
        <w:rPr>
          <w:lang w:val="en-AU"/>
        </w:rPr>
      </w:pPr>
      <w:r w:rsidRPr="002A7BAB">
        <w:rPr>
          <w:lang w:val="en-AU"/>
        </w:rPr>
        <w:t>As noted in Section 4.2, changes in pressure</w:t>
      </w:r>
      <w:r w:rsidR="002A16AF" w:rsidRPr="002A7BAB">
        <w:rPr>
          <w:lang w:val="en-AU"/>
        </w:rPr>
        <w:t>,</w:t>
      </w:r>
      <w:r w:rsidRPr="002A7BAB">
        <w:rPr>
          <w:lang w:val="en-AU"/>
        </w:rPr>
        <w:t xml:space="preserve"> </w:t>
      </w:r>
      <w:r w:rsidR="002A16AF" w:rsidRPr="002A7BAB">
        <w:rPr>
          <w:lang w:val="en-AU"/>
        </w:rPr>
        <w:t xml:space="preserve">potentially </w:t>
      </w:r>
      <w:r w:rsidRPr="002A7BAB">
        <w:rPr>
          <w:lang w:val="en-AU"/>
        </w:rPr>
        <w:t xml:space="preserve">from </w:t>
      </w:r>
      <w:proofErr w:type="gramStart"/>
      <w:r w:rsidRPr="002A7BAB">
        <w:rPr>
          <w:lang w:val="en-AU"/>
        </w:rPr>
        <w:t>a</w:t>
      </w:r>
      <w:proofErr w:type="gramEnd"/>
      <w:r w:rsidRPr="002A7BAB">
        <w:rPr>
          <w:lang w:val="en-AU"/>
        </w:rPr>
        <w:t xml:space="preserve"> LCM or CSG development</w:t>
      </w:r>
      <w:r w:rsidR="002A16AF" w:rsidRPr="002A7BAB">
        <w:rPr>
          <w:lang w:val="en-AU"/>
        </w:rPr>
        <w:t>,</w:t>
      </w:r>
      <w:r w:rsidRPr="002A7BAB">
        <w:rPr>
          <w:lang w:val="en-AU"/>
        </w:rPr>
        <w:t xml:space="preserve"> </w:t>
      </w:r>
      <w:r w:rsidR="002A16AF" w:rsidRPr="002A7BAB">
        <w:rPr>
          <w:lang w:val="en-AU"/>
        </w:rPr>
        <w:t xml:space="preserve">could alter the </w:t>
      </w:r>
      <w:proofErr w:type="spellStart"/>
      <w:r w:rsidR="002A16AF" w:rsidRPr="002A7BAB">
        <w:rPr>
          <w:lang w:val="en-AU"/>
        </w:rPr>
        <w:t>geomechanical</w:t>
      </w:r>
      <w:proofErr w:type="spellEnd"/>
      <w:r w:rsidR="002A16AF" w:rsidRPr="002A7BAB">
        <w:rPr>
          <w:lang w:val="en-AU"/>
        </w:rPr>
        <w:t xml:space="preserve"> stress state, causing changes in the aperture and permeability of fractures or faults. The reservoir simulators mentioned in Section 4.4 can approximate stress and permeability changes, as can some DFN models. Fully coupled </w:t>
      </w:r>
      <w:proofErr w:type="spellStart"/>
      <w:r w:rsidR="002A16AF" w:rsidRPr="002A7BAB">
        <w:rPr>
          <w:lang w:val="en-AU"/>
        </w:rPr>
        <w:t>poro</w:t>
      </w:r>
      <w:proofErr w:type="spellEnd"/>
      <w:r w:rsidR="002A16AF" w:rsidRPr="002A7BAB">
        <w:rPr>
          <w:lang w:val="en-AU"/>
        </w:rPr>
        <w:t>-elastic simulation lies beyond groundwater modelling codes and is an area of continued research.</w:t>
      </w:r>
    </w:p>
    <w:p w14:paraId="71BD4B76" w14:textId="77777777" w:rsidR="00BD2875" w:rsidRPr="006F4023" w:rsidRDefault="00BD2875" w:rsidP="00523649"/>
    <w:p w14:paraId="0E24EF30" w14:textId="77777777" w:rsidR="00A66D87" w:rsidRPr="0038473D" w:rsidRDefault="00A66D87">
      <w:pPr>
        <w:rPr>
          <w:rFonts w:eastAsiaTheme="majorEastAsia" w:cstheme="majorBidi"/>
          <w:color w:val="2F5496" w:themeColor="accent1" w:themeShade="BF"/>
          <w:sz w:val="52"/>
          <w:szCs w:val="32"/>
        </w:rPr>
      </w:pPr>
      <w:bookmarkStart w:id="410" w:name="_Toc42765142"/>
      <w:r w:rsidRPr="0038473D">
        <w:br w:type="page"/>
      </w:r>
    </w:p>
    <w:p w14:paraId="697F113D" w14:textId="49B2B4A8" w:rsidR="00FC261A" w:rsidRPr="006F4023" w:rsidRDefault="00A66D87" w:rsidP="00C51958">
      <w:pPr>
        <w:pStyle w:val="Heading1Numbered"/>
        <w:numPr>
          <w:ilvl w:val="0"/>
          <w:numId w:val="5"/>
        </w:numPr>
        <w:ind w:left="567" w:hanging="567"/>
      </w:pPr>
      <w:bookmarkStart w:id="411" w:name="_Toc66967209"/>
      <w:r w:rsidRPr="0038473D">
        <w:lastRenderedPageBreak/>
        <w:t>Summary and p</w:t>
      </w:r>
      <w:r w:rsidR="00FC261A" w:rsidRPr="006F4023">
        <w:t xml:space="preserve">roject </w:t>
      </w:r>
      <w:r w:rsidR="00CB672F" w:rsidRPr="006F4023">
        <w:t>evaluation</w:t>
      </w:r>
      <w:r w:rsidR="00FC261A" w:rsidRPr="006F4023">
        <w:t xml:space="preserve"> checklist</w:t>
      </w:r>
      <w:bookmarkEnd w:id="392"/>
      <w:bookmarkEnd w:id="393"/>
      <w:bookmarkEnd w:id="410"/>
      <w:bookmarkEnd w:id="411"/>
    </w:p>
    <w:p w14:paraId="2EC5ABC7" w14:textId="192D5450" w:rsidR="00A66D87" w:rsidRPr="006F4023" w:rsidRDefault="00A66D87" w:rsidP="00A66D87">
      <w:pPr>
        <w:pStyle w:val="Heading2Numbered"/>
      </w:pPr>
      <w:bookmarkStart w:id="412" w:name="_Toc66967210"/>
      <w:r w:rsidRPr="006F4023">
        <w:t>Summary</w:t>
      </w:r>
      <w:bookmarkEnd w:id="412"/>
    </w:p>
    <w:p w14:paraId="089A4DE4" w14:textId="433ED46C" w:rsidR="00A66D87" w:rsidRPr="006F4023" w:rsidRDefault="00A66D87" w:rsidP="00A66D87">
      <w:pPr>
        <w:pStyle w:val="BodyText"/>
        <w:rPr>
          <w:lang w:val="en-AU"/>
        </w:rPr>
      </w:pPr>
      <w:r w:rsidRPr="006F4023">
        <w:rPr>
          <w:lang w:val="en-AU"/>
        </w:rPr>
        <w:t xml:space="preserve">CSG and LCM developments have the potential to disrupt hydrological systems, resulting in potentially significant impacts to groundwater-related features such as springs, well fields, GDEs, wetlands, streams, and rivers. Significant changes could occur due to </w:t>
      </w:r>
      <w:r w:rsidR="00466519" w:rsidRPr="006F4023">
        <w:rPr>
          <w:lang w:val="en-AU"/>
        </w:rPr>
        <w:t xml:space="preserve">depressurisation </w:t>
      </w:r>
      <w:r w:rsidRPr="006F4023">
        <w:rPr>
          <w:lang w:val="en-AU"/>
        </w:rPr>
        <w:t>of either coal seams or of excavations (</w:t>
      </w:r>
      <w:proofErr w:type="gramStart"/>
      <w:r w:rsidRPr="006F4023">
        <w:rPr>
          <w:lang w:val="en-AU"/>
        </w:rPr>
        <w:t>e.g.</w:t>
      </w:r>
      <w:proofErr w:type="gramEnd"/>
      <w:r w:rsidRPr="006F4023">
        <w:rPr>
          <w:lang w:val="en-AU"/>
        </w:rPr>
        <w:t xml:space="preserve"> open pits, underground drives and stopes) and groundwater flow along pathways that are related to geological faults. An environmental impact statement (EIS) for CSG and LCM developments should specifically assess the likelihood that faults could be a connective flow </w:t>
      </w:r>
      <w:proofErr w:type="gramStart"/>
      <w:r w:rsidRPr="006F4023">
        <w:rPr>
          <w:lang w:val="en-AU"/>
        </w:rPr>
        <w:t>pathway, and</w:t>
      </w:r>
      <w:proofErr w:type="gramEnd"/>
      <w:r w:rsidRPr="006F4023">
        <w:rPr>
          <w:lang w:val="en-AU"/>
        </w:rPr>
        <w:t xml:space="preserve"> assess the potential consequences on groundwater assets and GDEs. In most cases, the pre-development and post-development geometry and character of the faults will be the same, but in some cases, ground movement including subsidence could change fracture apertures or reactivate geological faults and influence groundwater flow and storage. </w:t>
      </w:r>
    </w:p>
    <w:p w14:paraId="51098F94" w14:textId="6D07544E" w:rsidR="00A66D87" w:rsidRPr="006F4023" w:rsidRDefault="00A66D87" w:rsidP="00836A49">
      <w:pPr>
        <w:pStyle w:val="BodyText"/>
        <w:rPr>
          <w:lang w:val="en-AU"/>
        </w:rPr>
      </w:pPr>
      <w:r w:rsidRPr="006F4023">
        <w:rPr>
          <w:lang w:val="en-AU"/>
        </w:rPr>
        <w:t xml:space="preserve">To realistically assess the risk of coal </w:t>
      </w:r>
      <w:r w:rsidR="00E1529F" w:rsidRPr="006F4023">
        <w:rPr>
          <w:lang w:val="en-AU"/>
        </w:rPr>
        <w:t xml:space="preserve">and </w:t>
      </w:r>
      <w:r w:rsidR="00466519" w:rsidRPr="006F4023">
        <w:rPr>
          <w:lang w:val="en-AU"/>
        </w:rPr>
        <w:t>CSG</w:t>
      </w:r>
      <w:r w:rsidR="00E1529F" w:rsidRPr="006F4023">
        <w:rPr>
          <w:lang w:val="en-AU"/>
        </w:rPr>
        <w:t xml:space="preserve"> </w:t>
      </w:r>
      <w:r w:rsidRPr="006F4023">
        <w:rPr>
          <w:lang w:val="en-AU"/>
        </w:rPr>
        <w:t xml:space="preserve">developments, it is important to </w:t>
      </w:r>
      <w:r w:rsidR="00466519" w:rsidRPr="006F4023">
        <w:rPr>
          <w:lang w:val="en-AU"/>
        </w:rPr>
        <w:t xml:space="preserve">characterise </w:t>
      </w:r>
      <w:r w:rsidRPr="006F4023">
        <w:rPr>
          <w:lang w:val="en-AU"/>
        </w:rPr>
        <w:t xml:space="preserve">the pre-development hydrological system, as well as the potential changes that may occur from development. The whole system should be considered to provide a realistic and comprehensive risk assessment including faults in the context of other risk factors. Groundwater flow can be defined and described using field tests, analyses and modelling approaches that are long established in hydrogeology. However, there is a growing </w:t>
      </w:r>
      <w:r w:rsidR="00466519" w:rsidRPr="006F4023">
        <w:rPr>
          <w:lang w:val="en-AU"/>
        </w:rPr>
        <w:t xml:space="preserve">realisation </w:t>
      </w:r>
      <w:r w:rsidRPr="006F4023">
        <w:rPr>
          <w:lang w:val="en-AU"/>
        </w:rPr>
        <w:t xml:space="preserve">that in some cases, multidisciplinary analyses involving geology, hydrogeology, geomechanics and other lines of evidence are essential (see for example </w:t>
      </w:r>
      <w:proofErr w:type="spellStart"/>
      <w:r w:rsidRPr="006F4023">
        <w:rPr>
          <w:lang w:val="en-AU"/>
        </w:rPr>
        <w:t>Bense</w:t>
      </w:r>
      <w:proofErr w:type="spellEnd"/>
      <w:r w:rsidRPr="006F4023">
        <w:rPr>
          <w:lang w:val="en-AU"/>
        </w:rPr>
        <w:t xml:space="preserve"> et al. 2013). </w:t>
      </w:r>
    </w:p>
    <w:p w14:paraId="4AC54E84" w14:textId="3CDE80B9" w:rsidR="00FC261A" w:rsidRPr="0038473D" w:rsidRDefault="00FC261A" w:rsidP="00836A49">
      <w:pPr>
        <w:pStyle w:val="BodyText"/>
        <w:rPr>
          <w:lang w:val="en-AU"/>
        </w:rPr>
      </w:pPr>
      <w:r w:rsidRPr="006F4023">
        <w:rPr>
          <w:lang w:val="en-AU"/>
        </w:rPr>
        <w:t xml:space="preserve">This section should be read in conjunction with the IESC’s Information Guidelines (2018) and provides a short checklist of items which can be included or submitted by proponents. The use of a structured program to compile information on geological faults as they relate to groundwater assets may be used. There is no single workflow or method applicable to all </w:t>
      </w:r>
      <w:proofErr w:type="gramStart"/>
      <w:r w:rsidRPr="006F4023">
        <w:rPr>
          <w:lang w:val="en-AU"/>
        </w:rPr>
        <w:t>projects, and</w:t>
      </w:r>
      <w:proofErr w:type="gramEnd"/>
      <w:r w:rsidRPr="006F4023">
        <w:rPr>
          <w:lang w:val="en-AU"/>
        </w:rPr>
        <w:t xml:space="preserve"> use of a structured </w:t>
      </w:r>
      <w:r w:rsidR="00E85492" w:rsidRPr="006F4023">
        <w:rPr>
          <w:lang w:val="en-AU"/>
        </w:rPr>
        <w:t xml:space="preserve">risk assessment </w:t>
      </w:r>
      <w:r w:rsidR="009977B6" w:rsidRPr="006F4023">
        <w:rPr>
          <w:lang w:val="en-AU"/>
        </w:rPr>
        <w:t xml:space="preserve">tailored to the </w:t>
      </w:r>
      <w:r w:rsidR="00E85492" w:rsidRPr="006F4023">
        <w:rPr>
          <w:lang w:val="en-AU"/>
        </w:rPr>
        <w:t xml:space="preserve">hydrogeological-fault risk context </w:t>
      </w:r>
      <w:r w:rsidRPr="006F4023">
        <w:rPr>
          <w:lang w:val="en-AU"/>
        </w:rPr>
        <w:t>is encouraged (</w:t>
      </w:r>
      <w:r w:rsidR="00F50728" w:rsidRPr="0038473D">
        <w:rPr>
          <w:lang w:val="en-AU"/>
        </w:rPr>
        <w:fldChar w:fldCharType="begin"/>
      </w:r>
      <w:r w:rsidR="00F50728" w:rsidRPr="006F4023">
        <w:rPr>
          <w:lang w:val="en-AU"/>
        </w:rPr>
        <w:instrText xml:space="preserve"> REF _Ref56787229 \h </w:instrText>
      </w:r>
      <w:r w:rsidR="00F50728" w:rsidRPr="0038473D">
        <w:rPr>
          <w:lang w:val="en-AU"/>
        </w:rPr>
      </w:r>
      <w:r w:rsidR="00F50728" w:rsidRPr="0038473D">
        <w:rPr>
          <w:lang w:val="en-AU"/>
        </w:rPr>
        <w:fldChar w:fldCharType="separate"/>
      </w:r>
      <w:r w:rsidR="00047351" w:rsidRPr="006F4023">
        <w:t xml:space="preserve">Figure </w:t>
      </w:r>
      <w:r w:rsidR="00047351">
        <w:rPr>
          <w:noProof/>
        </w:rPr>
        <w:t>2</w:t>
      </w:r>
      <w:r w:rsidR="00F50728" w:rsidRPr="0038473D">
        <w:rPr>
          <w:lang w:val="en-AU"/>
        </w:rPr>
        <w:fldChar w:fldCharType="end"/>
      </w:r>
      <w:r w:rsidRPr="006F4023">
        <w:rPr>
          <w:lang w:val="en-AU"/>
        </w:rPr>
        <w:t>). I</w:t>
      </w:r>
      <w:r w:rsidRPr="0038473D">
        <w:rPr>
          <w:lang w:val="en-AU"/>
        </w:rPr>
        <w:t>t is highly recommended that proposals provide key information and analysis for each of the three main sections outlined below.</w:t>
      </w:r>
    </w:p>
    <w:p w14:paraId="4851B629" w14:textId="77777777" w:rsidR="00A66D87" w:rsidRPr="006F4023" w:rsidRDefault="00A66D87" w:rsidP="007E2D6E">
      <w:pPr>
        <w:pStyle w:val="Heading2Numbered"/>
      </w:pPr>
      <w:bookmarkStart w:id="413" w:name="_Toc66967211"/>
      <w:bookmarkStart w:id="414" w:name="_Toc42765143"/>
      <w:r w:rsidRPr="006F4023">
        <w:t>Project evaluation checklist</w:t>
      </w:r>
      <w:bookmarkEnd w:id="413"/>
    </w:p>
    <w:p w14:paraId="0E61F360" w14:textId="0EB81D88" w:rsidR="00FC261A" w:rsidRPr="006F4023" w:rsidRDefault="00FC261A" w:rsidP="00A66D87">
      <w:pPr>
        <w:pStyle w:val="Heading3Numbered"/>
      </w:pPr>
      <w:bookmarkStart w:id="415" w:name="_Toc66967212"/>
      <w:r w:rsidRPr="006F4023">
        <w:t>Geology</w:t>
      </w:r>
      <w:bookmarkEnd w:id="414"/>
      <w:bookmarkEnd w:id="415"/>
    </w:p>
    <w:p w14:paraId="5EC2600C" w14:textId="77777777" w:rsidR="00FC261A" w:rsidRPr="006F4023" w:rsidRDefault="00FC261A" w:rsidP="00836A49">
      <w:pPr>
        <w:pStyle w:val="BodyText"/>
        <w:rPr>
          <w:lang w:val="en-AU"/>
        </w:rPr>
      </w:pPr>
      <w:r w:rsidRPr="006F4023">
        <w:rPr>
          <w:lang w:val="en-AU"/>
        </w:rPr>
        <w:t xml:space="preserve">Proposals should clearly explain a geological model of the </w:t>
      </w:r>
      <w:r w:rsidR="00D71AD9" w:rsidRPr="006F4023">
        <w:rPr>
          <w:lang w:val="en-AU"/>
        </w:rPr>
        <w:t xml:space="preserve">host </w:t>
      </w:r>
      <w:r w:rsidRPr="006F4023">
        <w:rPr>
          <w:lang w:val="en-AU"/>
        </w:rPr>
        <w:t xml:space="preserve">rock types, stratigraphy, and fault geometry, the location of the mining resource (coal seam or gas location), and the location and character of the key assets (aquifers, GDEs, wells, springs). Key items for this part of the submission might include: </w:t>
      </w:r>
    </w:p>
    <w:p w14:paraId="61EB92B6" w14:textId="41DB17C5" w:rsidR="00FC261A" w:rsidRPr="006F4023" w:rsidRDefault="00FC261A" w:rsidP="00C51958">
      <w:pPr>
        <w:pStyle w:val="06DOTPOINTS"/>
        <w:numPr>
          <w:ilvl w:val="0"/>
          <w:numId w:val="18"/>
        </w:numPr>
        <w:spacing w:line="240" w:lineRule="auto"/>
        <w:rPr>
          <w:rFonts w:ascii="Garamond" w:hAnsi="Garamond"/>
        </w:rPr>
      </w:pPr>
      <w:r w:rsidRPr="006F4023">
        <w:rPr>
          <w:rFonts w:ascii="Garamond" w:hAnsi="Garamond"/>
        </w:rPr>
        <w:t xml:space="preserve">An outline of the regional </w:t>
      </w:r>
      <w:r w:rsidR="00A71249" w:rsidRPr="006F4023">
        <w:rPr>
          <w:rFonts w:ascii="Garamond" w:hAnsi="Garamond"/>
        </w:rPr>
        <w:t xml:space="preserve">geology, </w:t>
      </w:r>
      <w:r w:rsidRPr="006F4023">
        <w:rPr>
          <w:rFonts w:ascii="Garamond" w:hAnsi="Garamond"/>
        </w:rPr>
        <w:t>geological history and the regional structures</w:t>
      </w:r>
      <w:r w:rsidR="00A71249" w:rsidRPr="006F4023">
        <w:rPr>
          <w:rFonts w:ascii="Garamond" w:hAnsi="Garamond"/>
        </w:rPr>
        <w:t xml:space="preserve"> including a</w:t>
      </w:r>
      <w:r w:rsidRPr="006F4023">
        <w:rPr>
          <w:rFonts w:ascii="Garamond" w:hAnsi="Garamond"/>
        </w:rPr>
        <w:t xml:space="preserve">n evaluation of </w:t>
      </w:r>
      <w:r w:rsidR="00A71249" w:rsidRPr="006F4023">
        <w:rPr>
          <w:rFonts w:ascii="Garamond" w:hAnsi="Garamond"/>
        </w:rPr>
        <w:t xml:space="preserve">the </w:t>
      </w:r>
      <w:r w:rsidRPr="006F4023">
        <w:rPr>
          <w:rFonts w:ascii="Garamond" w:hAnsi="Garamond"/>
        </w:rPr>
        <w:t xml:space="preserve">parts of </w:t>
      </w:r>
      <w:r w:rsidR="00A71249" w:rsidRPr="006F4023">
        <w:rPr>
          <w:rFonts w:ascii="Garamond" w:hAnsi="Garamond"/>
        </w:rPr>
        <w:t xml:space="preserve">the </w:t>
      </w:r>
      <w:r w:rsidRPr="006F4023">
        <w:rPr>
          <w:rFonts w:ascii="Garamond" w:hAnsi="Garamond"/>
        </w:rPr>
        <w:t xml:space="preserve">history </w:t>
      </w:r>
      <w:r w:rsidR="00A71249" w:rsidRPr="006F4023">
        <w:rPr>
          <w:rFonts w:ascii="Garamond" w:hAnsi="Garamond"/>
        </w:rPr>
        <w:t xml:space="preserve">that </w:t>
      </w:r>
      <w:r w:rsidRPr="006F4023">
        <w:rPr>
          <w:rFonts w:ascii="Garamond" w:hAnsi="Garamond"/>
        </w:rPr>
        <w:t>influence or provide insight to more local concepts.</w:t>
      </w:r>
    </w:p>
    <w:p w14:paraId="25682E9B" w14:textId="77777777" w:rsidR="00FC261A" w:rsidRPr="006F4023" w:rsidRDefault="00FC261A" w:rsidP="00C51958">
      <w:pPr>
        <w:pStyle w:val="06DOTPOINTS"/>
        <w:numPr>
          <w:ilvl w:val="0"/>
          <w:numId w:val="18"/>
        </w:numPr>
        <w:spacing w:line="240" w:lineRule="auto"/>
        <w:rPr>
          <w:rFonts w:ascii="Garamond" w:hAnsi="Garamond"/>
        </w:rPr>
      </w:pPr>
      <w:r w:rsidRPr="006F4023">
        <w:rPr>
          <w:rFonts w:ascii="Garamond" w:hAnsi="Garamond"/>
        </w:rPr>
        <w:t xml:space="preserve">A summary of the data that are available and that were used to develop the project scale geological model, including both the rock types and stratigraphy, and the fault geometry. </w:t>
      </w:r>
    </w:p>
    <w:p w14:paraId="28D0A5A9" w14:textId="77777777" w:rsidR="00FC261A" w:rsidRPr="006F4023" w:rsidRDefault="00FC261A" w:rsidP="00C51958">
      <w:pPr>
        <w:pStyle w:val="06DOTPOINTS"/>
        <w:numPr>
          <w:ilvl w:val="0"/>
          <w:numId w:val="18"/>
        </w:numPr>
        <w:spacing w:line="240" w:lineRule="auto"/>
        <w:rPr>
          <w:rFonts w:ascii="Garamond" w:hAnsi="Garamond"/>
        </w:rPr>
      </w:pPr>
      <w:r w:rsidRPr="006F4023">
        <w:rPr>
          <w:rFonts w:ascii="Garamond" w:hAnsi="Garamond"/>
        </w:rPr>
        <w:t>Maps at the regional and project scale to illustrate faulting including:</w:t>
      </w:r>
    </w:p>
    <w:p w14:paraId="67700475" w14:textId="4D3A204F" w:rsidR="00FC261A" w:rsidRPr="006F4023" w:rsidRDefault="00FC261A" w:rsidP="00C51958">
      <w:pPr>
        <w:pStyle w:val="06DOTPOINTS"/>
        <w:numPr>
          <w:ilvl w:val="1"/>
          <w:numId w:val="18"/>
        </w:numPr>
        <w:spacing w:line="240" w:lineRule="auto"/>
        <w:rPr>
          <w:rFonts w:ascii="Garamond" w:hAnsi="Garamond"/>
        </w:rPr>
      </w:pPr>
      <w:r w:rsidRPr="006F4023">
        <w:rPr>
          <w:rFonts w:ascii="Garamond" w:hAnsi="Garamond"/>
        </w:rPr>
        <w:t>outcrop geology maps with faults projected to surface</w:t>
      </w:r>
      <w:r w:rsidR="0032692A" w:rsidRPr="006F4023">
        <w:rPr>
          <w:rFonts w:ascii="Garamond" w:hAnsi="Garamond"/>
        </w:rPr>
        <w:t xml:space="preserve"> where applicable; </w:t>
      </w:r>
      <w:r w:rsidR="005418D4" w:rsidRPr="006F4023">
        <w:rPr>
          <w:rFonts w:ascii="Garamond" w:hAnsi="Garamond"/>
        </w:rPr>
        <w:t xml:space="preserve">alternatively, </w:t>
      </w:r>
      <w:r w:rsidR="0032692A" w:rsidRPr="006F4023">
        <w:rPr>
          <w:rFonts w:ascii="Garamond" w:hAnsi="Garamond"/>
        </w:rPr>
        <w:t xml:space="preserve">a map that illustrates which strata are </w:t>
      </w:r>
      <w:proofErr w:type="gramStart"/>
      <w:r w:rsidR="0032692A" w:rsidRPr="006F4023">
        <w:rPr>
          <w:rFonts w:ascii="Garamond" w:hAnsi="Garamond"/>
        </w:rPr>
        <w:t>displaced</w:t>
      </w:r>
      <w:r w:rsidR="00133871" w:rsidRPr="006F4023">
        <w:rPr>
          <w:rFonts w:ascii="Garamond" w:hAnsi="Garamond"/>
        </w:rPr>
        <w:t>;</w:t>
      </w:r>
      <w:proofErr w:type="gramEnd"/>
    </w:p>
    <w:p w14:paraId="4F67E1F5" w14:textId="77777777" w:rsidR="00FC261A" w:rsidRPr="006F4023" w:rsidRDefault="00FC261A" w:rsidP="00C51958">
      <w:pPr>
        <w:pStyle w:val="06DOTPOINTS"/>
        <w:numPr>
          <w:ilvl w:val="1"/>
          <w:numId w:val="18"/>
        </w:numPr>
        <w:spacing w:line="240" w:lineRule="auto"/>
        <w:rPr>
          <w:rFonts w:ascii="Garamond" w:hAnsi="Garamond"/>
        </w:rPr>
      </w:pPr>
      <w:r w:rsidRPr="006F4023">
        <w:rPr>
          <w:rFonts w:ascii="Garamond" w:hAnsi="Garamond"/>
        </w:rPr>
        <w:t xml:space="preserve">structure maps with posted standard fault markings (lines, </w:t>
      </w:r>
      <w:proofErr w:type="gramStart"/>
      <w:r w:rsidRPr="006F4023">
        <w:rPr>
          <w:rFonts w:ascii="Garamond" w:hAnsi="Garamond"/>
        </w:rPr>
        <w:t>polygons</w:t>
      </w:r>
      <w:proofErr w:type="gramEnd"/>
      <w:r w:rsidRPr="006F4023">
        <w:rPr>
          <w:rFonts w:ascii="Garamond" w:hAnsi="Garamond"/>
        </w:rPr>
        <w:t xml:space="preserve"> and tick marks)</w:t>
      </w:r>
      <w:r w:rsidR="00133871" w:rsidRPr="006F4023">
        <w:rPr>
          <w:rFonts w:ascii="Garamond" w:hAnsi="Garamond"/>
        </w:rPr>
        <w:t>; and</w:t>
      </w:r>
    </w:p>
    <w:p w14:paraId="5F544B98" w14:textId="77777777" w:rsidR="00FC261A" w:rsidRPr="006F4023" w:rsidRDefault="00FC261A" w:rsidP="00C51958">
      <w:pPr>
        <w:pStyle w:val="06DOTPOINTS"/>
        <w:numPr>
          <w:ilvl w:val="1"/>
          <w:numId w:val="18"/>
        </w:numPr>
        <w:spacing w:line="240" w:lineRule="auto"/>
        <w:rPr>
          <w:rFonts w:ascii="Garamond" w:hAnsi="Garamond"/>
        </w:rPr>
      </w:pPr>
      <w:r w:rsidRPr="006F4023">
        <w:rPr>
          <w:rFonts w:ascii="Garamond" w:hAnsi="Garamond"/>
        </w:rPr>
        <w:t>isopach maps of key strata, particularly aquitards</w:t>
      </w:r>
      <w:r w:rsidR="00133871" w:rsidRPr="006F4023">
        <w:rPr>
          <w:rFonts w:ascii="Garamond" w:hAnsi="Garamond"/>
        </w:rPr>
        <w:t>.</w:t>
      </w:r>
      <w:r w:rsidRPr="006F4023">
        <w:rPr>
          <w:rFonts w:ascii="Garamond" w:hAnsi="Garamond"/>
        </w:rPr>
        <w:t xml:space="preserve"> </w:t>
      </w:r>
    </w:p>
    <w:p w14:paraId="3FE4ED05" w14:textId="77777777" w:rsidR="00FC261A" w:rsidRPr="006F4023" w:rsidRDefault="00FC261A" w:rsidP="00C51958">
      <w:pPr>
        <w:pStyle w:val="06DOTPOINTS"/>
        <w:numPr>
          <w:ilvl w:val="0"/>
          <w:numId w:val="18"/>
        </w:numPr>
        <w:spacing w:line="240" w:lineRule="auto"/>
        <w:rPr>
          <w:rFonts w:ascii="Garamond" w:hAnsi="Garamond"/>
        </w:rPr>
      </w:pPr>
      <w:r w:rsidRPr="006F4023">
        <w:rPr>
          <w:rFonts w:ascii="Garamond" w:hAnsi="Garamond"/>
        </w:rPr>
        <w:t xml:space="preserve">Fault displacement profiles that are derived from and consistent with the structure maps, showing how the throw (vertical displacement) for each fault varies along the length of the fault. </w:t>
      </w:r>
    </w:p>
    <w:p w14:paraId="4C65BABF" w14:textId="77777777" w:rsidR="00FC261A" w:rsidRPr="006F4023" w:rsidRDefault="00FC261A" w:rsidP="00A66D87">
      <w:pPr>
        <w:pStyle w:val="Heading3Numbered"/>
      </w:pPr>
      <w:bookmarkStart w:id="416" w:name="_Toc42765144"/>
      <w:bookmarkStart w:id="417" w:name="_Toc66967213"/>
      <w:r w:rsidRPr="006F4023">
        <w:t>Hydrogeology</w:t>
      </w:r>
      <w:bookmarkEnd w:id="416"/>
      <w:bookmarkEnd w:id="417"/>
    </w:p>
    <w:p w14:paraId="75BA1ABC" w14:textId="650AD2FE" w:rsidR="00FC261A" w:rsidRPr="006F4023" w:rsidRDefault="00FC261A" w:rsidP="00836A49">
      <w:pPr>
        <w:pStyle w:val="BodyText"/>
        <w:rPr>
          <w:lang w:val="en-AU"/>
        </w:rPr>
      </w:pPr>
      <w:r w:rsidRPr="006F4023">
        <w:rPr>
          <w:lang w:val="en-AU"/>
        </w:rPr>
        <w:t xml:space="preserve">Proponents should present a </w:t>
      </w:r>
      <w:r w:rsidR="00A71249" w:rsidRPr="006F4023">
        <w:rPr>
          <w:lang w:val="en-AU"/>
        </w:rPr>
        <w:t>description of the hydrogeology</w:t>
      </w:r>
      <w:r w:rsidR="00235163" w:rsidRPr="006F4023">
        <w:rPr>
          <w:lang w:val="en-AU"/>
        </w:rPr>
        <w:t xml:space="preserve"> using a conceptual model</w:t>
      </w:r>
      <w:r w:rsidR="00A71249" w:rsidRPr="006F4023">
        <w:rPr>
          <w:lang w:val="en-AU"/>
        </w:rPr>
        <w:t xml:space="preserve"> that specifically addresses structure </w:t>
      </w:r>
      <w:r w:rsidRPr="006F4023">
        <w:rPr>
          <w:lang w:val="en-AU"/>
        </w:rPr>
        <w:t xml:space="preserve">based on available information </w:t>
      </w:r>
      <w:r w:rsidR="00A71249" w:rsidRPr="006F4023">
        <w:rPr>
          <w:lang w:val="en-AU"/>
        </w:rPr>
        <w:t xml:space="preserve">including </w:t>
      </w:r>
      <w:r w:rsidRPr="006F4023">
        <w:rPr>
          <w:lang w:val="en-AU"/>
        </w:rPr>
        <w:t xml:space="preserve">the geometrical and geological information. </w:t>
      </w:r>
      <w:r w:rsidR="00A71249" w:rsidRPr="006F4023">
        <w:rPr>
          <w:lang w:val="en-AU"/>
        </w:rPr>
        <w:t xml:space="preserve">The conceptual </w:t>
      </w:r>
      <w:r w:rsidR="00A71249" w:rsidRPr="006F4023">
        <w:rPr>
          <w:lang w:val="en-AU"/>
        </w:rPr>
        <w:lastRenderedPageBreak/>
        <w:t>understanding is then the basis for designing any numerical models for impact prediction. The reader is also referred to the Explanatory Note for groundwater modelling (</w:t>
      </w:r>
      <w:proofErr w:type="spellStart"/>
      <w:r w:rsidR="00A71249" w:rsidRPr="006F4023">
        <w:rPr>
          <w:lang w:val="en-AU"/>
        </w:rPr>
        <w:t>Middlemis</w:t>
      </w:r>
      <w:proofErr w:type="spellEnd"/>
      <w:r w:rsidR="00A71249" w:rsidRPr="006F4023">
        <w:rPr>
          <w:lang w:val="en-AU"/>
        </w:rPr>
        <w:t xml:space="preserve"> and </w:t>
      </w:r>
      <w:proofErr w:type="spellStart"/>
      <w:r w:rsidR="00A71249" w:rsidRPr="006F4023">
        <w:rPr>
          <w:lang w:val="en-AU"/>
        </w:rPr>
        <w:t>Peeters</w:t>
      </w:r>
      <w:proofErr w:type="spellEnd"/>
      <w:r w:rsidR="00A71249" w:rsidRPr="006F4023">
        <w:rPr>
          <w:lang w:val="en-AU"/>
        </w:rPr>
        <w:t>, 2018).</w:t>
      </w:r>
      <w:r w:rsidRPr="006F4023">
        <w:rPr>
          <w:lang w:val="en-AU"/>
        </w:rPr>
        <w:t xml:space="preserve"> Key parts of this section </w:t>
      </w:r>
      <w:r w:rsidR="00A71249" w:rsidRPr="006F4023">
        <w:rPr>
          <w:lang w:val="en-AU"/>
        </w:rPr>
        <w:t>may include</w:t>
      </w:r>
      <w:r w:rsidRPr="006F4023">
        <w:rPr>
          <w:lang w:val="en-AU"/>
        </w:rPr>
        <w:t>:</w:t>
      </w:r>
    </w:p>
    <w:p w14:paraId="7FA086F8" w14:textId="77777777" w:rsidR="00FC261A" w:rsidRPr="006F4023" w:rsidRDefault="00FC261A" w:rsidP="00C51958">
      <w:pPr>
        <w:pStyle w:val="06DOTPOINTS"/>
        <w:numPr>
          <w:ilvl w:val="0"/>
          <w:numId w:val="19"/>
        </w:numPr>
        <w:spacing w:line="240" w:lineRule="auto"/>
        <w:rPr>
          <w:rFonts w:ascii="Garamond" w:hAnsi="Garamond"/>
        </w:rPr>
      </w:pPr>
      <w:r w:rsidRPr="006F4023">
        <w:rPr>
          <w:rFonts w:ascii="Garamond" w:hAnsi="Garamond"/>
        </w:rPr>
        <w:t>A summary of the type and character of the data that were used to constrain the thicknesses and properties of the aquitards and aquifers in the hydrogeological model</w:t>
      </w:r>
      <w:r w:rsidR="00EF7E22" w:rsidRPr="006F4023">
        <w:rPr>
          <w:rFonts w:ascii="Garamond" w:hAnsi="Garamond"/>
        </w:rPr>
        <w:t xml:space="preserve">, including hydraulic conductivity, transmissivity and </w:t>
      </w:r>
      <w:proofErr w:type="spellStart"/>
      <w:r w:rsidR="00701273" w:rsidRPr="006F4023">
        <w:rPr>
          <w:rFonts w:ascii="Garamond" w:hAnsi="Garamond"/>
        </w:rPr>
        <w:t>storativity</w:t>
      </w:r>
      <w:proofErr w:type="spellEnd"/>
      <w:r w:rsidR="00EF7E22" w:rsidRPr="006F4023">
        <w:rPr>
          <w:rFonts w:ascii="Garamond" w:hAnsi="Garamond"/>
        </w:rPr>
        <w:t xml:space="preserve"> of the hydrological units and fault(s)</w:t>
      </w:r>
      <w:r w:rsidRPr="006F4023">
        <w:rPr>
          <w:rFonts w:ascii="Garamond" w:hAnsi="Garamond"/>
        </w:rPr>
        <w:t xml:space="preserve">. </w:t>
      </w:r>
    </w:p>
    <w:p w14:paraId="4C66CEDB" w14:textId="77777777" w:rsidR="00FC261A" w:rsidRPr="006F4023" w:rsidRDefault="00FC261A" w:rsidP="00C51958">
      <w:pPr>
        <w:pStyle w:val="06DOTPOINTS"/>
        <w:numPr>
          <w:ilvl w:val="0"/>
          <w:numId w:val="19"/>
        </w:numPr>
        <w:spacing w:line="240" w:lineRule="auto"/>
        <w:rPr>
          <w:rFonts w:ascii="Garamond" w:hAnsi="Garamond"/>
        </w:rPr>
      </w:pPr>
      <w:r w:rsidRPr="006F4023">
        <w:rPr>
          <w:rFonts w:ascii="Garamond" w:hAnsi="Garamond"/>
        </w:rPr>
        <w:t xml:space="preserve">Maps and </w:t>
      </w:r>
      <w:r w:rsidR="00A1566A" w:rsidRPr="006F4023">
        <w:rPr>
          <w:rFonts w:ascii="Garamond" w:hAnsi="Garamond"/>
        </w:rPr>
        <w:t>potentiometric/</w:t>
      </w:r>
      <w:r w:rsidRPr="006F4023">
        <w:rPr>
          <w:rFonts w:ascii="Garamond" w:hAnsi="Garamond"/>
        </w:rPr>
        <w:t xml:space="preserve">isopach maps of key hydrological units (aquitards and aquifers), and how they are offset by the faults in the inferred fault geometry. </w:t>
      </w:r>
    </w:p>
    <w:p w14:paraId="1F1A7DA7" w14:textId="77777777" w:rsidR="00FC261A" w:rsidRPr="006F4023" w:rsidRDefault="00FC261A" w:rsidP="00C51958">
      <w:pPr>
        <w:pStyle w:val="06DOTPOINTS"/>
        <w:numPr>
          <w:ilvl w:val="0"/>
          <w:numId w:val="19"/>
        </w:numPr>
        <w:spacing w:line="240" w:lineRule="auto"/>
        <w:rPr>
          <w:rFonts w:ascii="Garamond" w:hAnsi="Garamond"/>
        </w:rPr>
      </w:pPr>
      <w:r w:rsidRPr="006F4023">
        <w:rPr>
          <w:rFonts w:ascii="Garamond" w:hAnsi="Garamond"/>
        </w:rPr>
        <w:t>Representative fault triangle diagrams for each region of differing aquitard and aquifer thickness to illustrate the potential fault juxtaposition scenarios.</w:t>
      </w:r>
    </w:p>
    <w:p w14:paraId="56533E31" w14:textId="49F646CC" w:rsidR="00FC261A" w:rsidRPr="006F4023" w:rsidRDefault="00FC261A" w:rsidP="00C51958">
      <w:pPr>
        <w:pStyle w:val="06DOTPOINTS"/>
        <w:numPr>
          <w:ilvl w:val="0"/>
          <w:numId w:val="19"/>
        </w:numPr>
        <w:spacing w:line="240" w:lineRule="auto"/>
        <w:rPr>
          <w:rFonts w:ascii="Garamond" w:hAnsi="Garamond"/>
        </w:rPr>
      </w:pPr>
      <w:r w:rsidRPr="006F4023">
        <w:rPr>
          <w:rFonts w:ascii="Garamond" w:hAnsi="Garamond"/>
        </w:rPr>
        <w:t xml:space="preserve">It is recommended that Allan </w:t>
      </w:r>
      <w:r w:rsidR="005418D4" w:rsidRPr="006F4023">
        <w:rPr>
          <w:rFonts w:ascii="Garamond" w:hAnsi="Garamond"/>
        </w:rPr>
        <w:t xml:space="preserve">Maps </w:t>
      </w:r>
      <w:r w:rsidRPr="006F4023">
        <w:rPr>
          <w:rFonts w:ascii="Garamond" w:hAnsi="Garamond"/>
        </w:rPr>
        <w:t>(Allan 1989) showing the main juxtapositions of coal seams, aquitards and aquifers be constructed and presented</w:t>
      </w:r>
      <w:r w:rsidR="005418D4" w:rsidRPr="006F4023">
        <w:rPr>
          <w:rFonts w:ascii="Garamond" w:hAnsi="Garamond"/>
        </w:rPr>
        <w:t>.</w:t>
      </w:r>
      <w:r w:rsidRPr="006F4023">
        <w:rPr>
          <w:rFonts w:ascii="Garamond" w:hAnsi="Garamond"/>
        </w:rPr>
        <w:t xml:space="preserve"> </w:t>
      </w:r>
      <w:r w:rsidR="006C220F" w:rsidRPr="006F4023">
        <w:rPr>
          <w:rFonts w:ascii="Garamond" w:hAnsi="Garamond"/>
        </w:rPr>
        <w:t>T</w:t>
      </w:r>
      <w:r w:rsidRPr="006F4023">
        <w:rPr>
          <w:rFonts w:ascii="Garamond" w:hAnsi="Garamond"/>
        </w:rPr>
        <w:t xml:space="preserve">hese are likely to be the easiest way to document and assess cross fault and parallel to fault flow. </w:t>
      </w:r>
    </w:p>
    <w:p w14:paraId="5285C56D" w14:textId="24E052DD" w:rsidR="00FC261A" w:rsidRPr="006F4023" w:rsidRDefault="00FC261A" w:rsidP="00C51958">
      <w:pPr>
        <w:pStyle w:val="06DOTPOINTS"/>
        <w:numPr>
          <w:ilvl w:val="0"/>
          <w:numId w:val="19"/>
        </w:numPr>
        <w:spacing w:line="240" w:lineRule="auto"/>
        <w:rPr>
          <w:rFonts w:ascii="Garamond" w:hAnsi="Garamond"/>
        </w:rPr>
      </w:pPr>
      <w:r w:rsidRPr="006F4023">
        <w:rPr>
          <w:rFonts w:ascii="Garamond" w:hAnsi="Garamond"/>
        </w:rPr>
        <w:t xml:space="preserve">A table of geologic units designated as aquifers or and aquitards, enumerating distribution of thicknesses and hydraulic conductivity. Hydrogeological evidence for high integrity aquitards could include </w:t>
      </w:r>
      <w:r w:rsidR="006D493D" w:rsidRPr="006F4023">
        <w:rPr>
          <w:rFonts w:ascii="Garamond" w:hAnsi="Garamond"/>
        </w:rPr>
        <w:t xml:space="preserve">significant hydraulic head differences across aquitards, hydrochemistry and isotopes and </w:t>
      </w:r>
      <w:r w:rsidRPr="006F4023">
        <w:rPr>
          <w:rFonts w:ascii="Garamond" w:hAnsi="Garamond"/>
        </w:rPr>
        <w:t>tests at core and site scale.</w:t>
      </w:r>
    </w:p>
    <w:p w14:paraId="70F3C874" w14:textId="77777777" w:rsidR="00FC261A" w:rsidRPr="006F4023" w:rsidRDefault="00FC261A" w:rsidP="00C51958">
      <w:pPr>
        <w:pStyle w:val="06DOTPOINTS"/>
        <w:numPr>
          <w:ilvl w:val="0"/>
          <w:numId w:val="19"/>
        </w:numPr>
        <w:spacing w:line="240" w:lineRule="auto"/>
        <w:rPr>
          <w:rFonts w:ascii="Garamond" w:hAnsi="Garamond"/>
        </w:rPr>
      </w:pPr>
      <w:r w:rsidRPr="006F4023">
        <w:rPr>
          <w:rFonts w:ascii="Garamond" w:hAnsi="Garamond"/>
        </w:rPr>
        <w:t>Tabulated details of predevelopment groundwater pressures and aquifer pump</w:t>
      </w:r>
      <w:r w:rsidR="00CA49C5" w:rsidRPr="006F4023">
        <w:rPr>
          <w:rFonts w:ascii="Garamond" w:hAnsi="Garamond"/>
        </w:rPr>
        <w:t>ing</w:t>
      </w:r>
      <w:r w:rsidRPr="006F4023">
        <w:rPr>
          <w:rFonts w:ascii="Garamond" w:hAnsi="Garamond"/>
        </w:rPr>
        <w:t xml:space="preserve"> test data near and across fault zones. Water chemistry and tracer data adjacent to and distant from identified faults could also provide evidence of the possibility of discrete flow paths or a lack of flow through aquitards.</w:t>
      </w:r>
    </w:p>
    <w:p w14:paraId="535DEC85" w14:textId="77777777" w:rsidR="00FC261A" w:rsidRPr="006F4023" w:rsidRDefault="00FC261A" w:rsidP="00C51958">
      <w:pPr>
        <w:pStyle w:val="06DOTPOINTS"/>
        <w:numPr>
          <w:ilvl w:val="0"/>
          <w:numId w:val="19"/>
        </w:numPr>
        <w:spacing w:line="240" w:lineRule="auto"/>
        <w:rPr>
          <w:rFonts w:ascii="Garamond" w:hAnsi="Garamond"/>
        </w:rPr>
      </w:pPr>
      <w:r w:rsidRPr="006F4023">
        <w:rPr>
          <w:rFonts w:ascii="Garamond" w:hAnsi="Garamond"/>
        </w:rPr>
        <w:t>A summary listing of the potential flow pathways between assets and coal seams or excavations (both pre-development and development related) that were considered.</w:t>
      </w:r>
    </w:p>
    <w:p w14:paraId="55479730" w14:textId="3ECF88B3" w:rsidR="00FC261A" w:rsidRPr="0038473D" w:rsidRDefault="00FC261A" w:rsidP="00C51958">
      <w:pPr>
        <w:pStyle w:val="06DOTPOINTS"/>
        <w:numPr>
          <w:ilvl w:val="0"/>
          <w:numId w:val="19"/>
        </w:numPr>
        <w:spacing w:line="240" w:lineRule="auto"/>
        <w:rPr>
          <w:rFonts w:ascii="Garamond" w:hAnsi="Garamond"/>
        </w:rPr>
      </w:pPr>
      <w:r w:rsidRPr="006F4023">
        <w:rPr>
          <w:rFonts w:ascii="Garamond" w:hAnsi="Garamond"/>
        </w:rPr>
        <w:t xml:space="preserve">An assessment of any possible changes in the hydrogeology or water flow pathways that may be induced by development through depressurisation and or subsidence. For some projects the chance of subsidence will be </w:t>
      </w:r>
      <w:r w:rsidR="00B6424A" w:rsidRPr="006F4023">
        <w:rPr>
          <w:rFonts w:ascii="Garamond" w:hAnsi="Garamond"/>
        </w:rPr>
        <w:t>minimal and does not require a detailed analysis</w:t>
      </w:r>
      <w:r w:rsidRPr="006F4023">
        <w:rPr>
          <w:rFonts w:ascii="Garamond" w:hAnsi="Garamond"/>
        </w:rPr>
        <w:t xml:space="preserve">. </w:t>
      </w:r>
      <w:r w:rsidR="00B6424A" w:rsidRPr="006F4023">
        <w:rPr>
          <w:rFonts w:ascii="Garamond" w:hAnsi="Garamond"/>
        </w:rPr>
        <w:t xml:space="preserve">Where greater subsidence is </w:t>
      </w:r>
      <w:r w:rsidR="006F0469">
        <w:rPr>
          <w:rFonts w:ascii="Garamond" w:hAnsi="Garamond"/>
        </w:rPr>
        <w:t>possible</w:t>
      </w:r>
      <w:r w:rsidR="00B6424A" w:rsidRPr="006F4023">
        <w:rPr>
          <w:rFonts w:ascii="Garamond" w:hAnsi="Garamond"/>
        </w:rPr>
        <w:t>, a detailed assessment should</w:t>
      </w:r>
      <w:r w:rsidR="00B6424A" w:rsidRPr="0038473D">
        <w:rPr>
          <w:rFonts w:ascii="Garamond" w:hAnsi="Garamond"/>
        </w:rPr>
        <w:t xml:space="preserve"> be undertaken.</w:t>
      </w:r>
    </w:p>
    <w:p w14:paraId="6341E882" w14:textId="4F85A9AB" w:rsidR="007630AD" w:rsidRPr="006F4023" w:rsidRDefault="00FC261A" w:rsidP="00A87096">
      <w:pPr>
        <w:pStyle w:val="06DOTPOINTS"/>
        <w:numPr>
          <w:ilvl w:val="0"/>
          <w:numId w:val="19"/>
        </w:numPr>
        <w:spacing w:line="240" w:lineRule="auto"/>
        <w:rPr>
          <w:rFonts w:ascii="Garamond" w:hAnsi="Garamond"/>
        </w:rPr>
      </w:pPr>
      <w:r w:rsidRPr="006F4023">
        <w:rPr>
          <w:rFonts w:ascii="Garamond" w:hAnsi="Garamond"/>
        </w:rPr>
        <w:t>Estimated rates of flow</w:t>
      </w:r>
      <w:r w:rsidR="0032447F" w:rsidRPr="006F4023">
        <w:rPr>
          <w:rFonts w:ascii="Garamond" w:hAnsi="Garamond"/>
        </w:rPr>
        <w:t xml:space="preserve">, drawdown and transport </w:t>
      </w:r>
      <w:r w:rsidRPr="006F4023">
        <w:rPr>
          <w:rFonts w:ascii="Garamond" w:hAnsi="Garamond"/>
        </w:rPr>
        <w:t>along the key flow pathways based on groundwater flow models</w:t>
      </w:r>
      <w:r w:rsidR="0032447F" w:rsidRPr="006F4023">
        <w:rPr>
          <w:rFonts w:ascii="Garamond" w:hAnsi="Garamond"/>
        </w:rPr>
        <w:t>, and quantification of the uncertainty surrounding these estimates to underpin risk assessments</w:t>
      </w:r>
      <w:r w:rsidRPr="006F4023">
        <w:rPr>
          <w:rFonts w:ascii="Garamond" w:hAnsi="Garamond"/>
        </w:rPr>
        <w:t>.</w:t>
      </w:r>
      <w:r w:rsidR="00E250DB" w:rsidRPr="006F4023">
        <w:rPr>
          <w:rFonts w:ascii="Garamond" w:hAnsi="Garamond"/>
        </w:rPr>
        <w:t xml:space="preserve"> </w:t>
      </w:r>
    </w:p>
    <w:p w14:paraId="7281A3E2" w14:textId="38DAE9C3" w:rsidR="00FC261A" w:rsidRPr="006F4023" w:rsidRDefault="00FC261A" w:rsidP="00A66D87">
      <w:pPr>
        <w:pStyle w:val="Heading3Numbered"/>
      </w:pPr>
      <w:bookmarkStart w:id="418" w:name="_Toc42765145"/>
      <w:bookmarkStart w:id="419" w:name="_Toc66967214"/>
      <w:r w:rsidRPr="006F4023">
        <w:t>Risk Assessment</w:t>
      </w:r>
      <w:bookmarkEnd w:id="418"/>
      <w:bookmarkEnd w:id="419"/>
    </w:p>
    <w:p w14:paraId="43DD47F6" w14:textId="2A4B1F0D" w:rsidR="003F7AB4" w:rsidRPr="006F4023" w:rsidRDefault="00FC261A" w:rsidP="00836A49">
      <w:pPr>
        <w:pStyle w:val="BodyText"/>
        <w:rPr>
          <w:lang w:val="en-AU"/>
        </w:rPr>
      </w:pPr>
      <w:r w:rsidRPr="006F4023">
        <w:rPr>
          <w:lang w:val="en-AU"/>
        </w:rPr>
        <w:t>The risk assessment section of a</w:t>
      </w:r>
      <w:r w:rsidR="00AC09C6" w:rsidRPr="006F4023">
        <w:rPr>
          <w:lang w:val="en-AU"/>
        </w:rPr>
        <w:t>n environmental impact assessment</w:t>
      </w:r>
      <w:r w:rsidRPr="006F4023">
        <w:rPr>
          <w:lang w:val="en-AU"/>
        </w:rPr>
        <w:t xml:space="preserve"> should specifically address the uncertainties and the relative risks that </w:t>
      </w:r>
      <w:r w:rsidR="006D493D" w:rsidRPr="006F4023">
        <w:rPr>
          <w:lang w:val="en-AU"/>
        </w:rPr>
        <w:t xml:space="preserve">may be </w:t>
      </w:r>
      <w:r w:rsidRPr="006F4023">
        <w:rPr>
          <w:lang w:val="en-AU"/>
        </w:rPr>
        <w:t xml:space="preserve">associated with the development. </w:t>
      </w:r>
      <w:r w:rsidR="006D493D" w:rsidRPr="006F4023">
        <w:rPr>
          <w:lang w:val="en-AU"/>
        </w:rPr>
        <w:t>Regarding faults, t</w:t>
      </w:r>
      <w:r w:rsidRPr="006F4023">
        <w:rPr>
          <w:lang w:val="en-AU"/>
        </w:rPr>
        <w:t xml:space="preserve">he main goal is to assess and document the risks </w:t>
      </w:r>
      <w:r w:rsidR="006D493D" w:rsidRPr="006F4023">
        <w:rPr>
          <w:lang w:val="en-AU"/>
        </w:rPr>
        <w:t xml:space="preserve">that </w:t>
      </w:r>
      <w:r w:rsidRPr="006F4023">
        <w:rPr>
          <w:lang w:val="en-AU"/>
        </w:rPr>
        <w:t>faults provid</w:t>
      </w:r>
      <w:r w:rsidR="006D493D" w:rsidRPr="006F4023">
        <w:rPr>
          <w:lang w:val="en-AU"/>
        </w:rPr>
        <w:t>e</w:t>
      </w:r>
      <w:r w:rsidRPr="006F4023">
        <w:rPr>
          <w:lang w:val="en-AU"/>
        </w:rPr>
        <w:t xml:space="preserve"> a causal pathway between an asset (aquifer, GDE, etc.) and a depressur</w:t>
      </w:r>
      <w:r w:rsidR="00235163" w:rsidRPr="006F4023">
        <w:rPr>
          <w:lang w:val="en-AU"/>
        </w:rPr>
        <w:t>ised</w:t>
      </w:r>
      <w:r w:rsidRPr="006F4023">
        <w:rPr>
          <w:lang w:val="en-AU"/>
        </w:rPr>
        <w:t xml:space="preserve"> zone such as a coal seam or excavation. Environmental impact studies for CSG and LCM developments should specifically assess the likelihood of faults that could be a flow </w:t>
      </w:r>
      <w:proofErr w:type="gramStart"/>
      <w:r w:rsidRPr="006F4023">
        <w:rPr>
          <w:lang w:val="en-AU"/>
        </w:rPr>
        <w:t>pathway, and</w:t>
      </w:r>
      <w:proofErr w:type="gramEnd"/>
      <w:r w:rsidRPr="006F4023">
        <w:rPr>
          <w:lang w:val="en-AU"/>
        </w:rPr>
        <w:t xml:space="preserve"> assess the potential consequences on groundwater assets and GDEs.</w:t>
      </w:r>
      <w:r w:rsidR="006D493D" w:rsidRPr="006F4023">
        <w:rPr>
          <w:lang w:val="en-AU"/>
        </w:rPr>
        <w:t xml:space="preserve"> </w:t>
      </w:r>
    </w:p>
    <w:p w14:paraId="26451059" w14:textId="44599340" w:rsidR="00FC261A" w:rsidRPr="006F4023" w:rsidRDefault="003F7AB4" w:rsidP="00836A49">
      <w:pPr>
        <w:pStyle w:val="BodyText"/>
        <w:rPr>
          <w:lang w:val="en-AU"/>
        </w:rPr>
      </w:pPr>
      <w:r w:rsidRPr="006F4023">
        <w:rPr>
          <w:lang w:val="en-AU"/>
        </w:rPr>
        <w:t xml:space="preserve">The exact scope of the </w:t>
      </w:r>
      <w:r w:rsidR="006D493D" w:rsidRPr="006F4023">
        <w:rPr>
          <w:lang w:val="en-AU"/>
        </w:rPr>
        <w:t xml:space="preserve">risk assessment </w:t>
      </w:r>
      <w:r w:rsidRPr="006F4023">
        <w:rPr>
          <w:lang w:val="en-AU"/>
        </w:rPr>
        <w:t xml:space="preserve">will be project specific, so here </w:t>
      </w:r>
      <w:r w:rsidR="006D493D" w:rsidRPr="006F4023">
        <w:rPr>
          <w:lang w:val="en-AU"/>
        </w:rPr>
        <w:t xml:space="preserve">we outline </w:t>
      </w:r>
      <w:r w:rsidR="00235163" w:rsidRPr="002A7BAB">
        <w:rPr>
          <w:lang w:val="en-AU"/>
        </w:rPr>
        <w:t>some</w:t>
      </w:r>
      <w:r w:rsidRPr="006F4023">
        <w:rPr>
          <w:lang w:val="en-AU"/>
        </w:rPr>
        <w:t xml:space="preserve"> </w:t>
      </w:r>
      <w:r w:rsidR="006D493D" w:rsidRPr="0038473D">
        <w:rPr>
          <w:lang w:val="en-AU"/>
        </w:rPr>
        <w:t>steps likely</w:t>
      </w:r>
      <w:r w:rsidR="00EE7CBD" w:rsidRPr="0038473D">
        <w:rPr>
          <w:lang w:val="en-AU"/>
        </w:rPr>
        <w:t xml:space="preserve"> to</w:t>
      </w:r>
      <w:r w:rsidR="006D493D" w:rsidRPr="006F4023">
        <w:rPr>
          <w:lang w:val="en-AU"/>
        </w:rPr>
        <w:t xml:space="preserve"> be required</w:t>
      </w:r>
      <w:r w:rsidRPr="006F4023">
        <w:rPr>
          <w:lang w:val="en-AU"/>
        </w:rPr>
        <w:t>. In assessing risk, s</w:t>
      </w:r>
      <w:r w:rsidR="00FC261A" w:rsidRPr="006F4023">
        <w:rPr>
          <w:lang w:val="en-AU"/>
        </w:rPr>
        <w:t xml:space="preserve">tochastic or probabilistic assessment is highly recommended. </w:t>
      </w:r>
      <w:r w:rsidRPr="006F4023">
        <w:rPr>
          <w:lang w:val="en-AU"/>
        </w:rPr>
        <w:t xml:space="preserve">Further detail on these techniques is provided in </w:t>
      </w:r>
      <w:r w:rsidR="00FC261A" w:rsidRPr="006F4023">
        <w:rPr>
          <w:lang w:val="en-AU"/>
        </w:rPr>
        <w:t>the Explanatory Note on uncertainty analysis (</w:t>
      </w:r>
      <w:proofErr w:type="spellStart"/>
      <w:r w:rsidR="00FC261A" w:rsidRPr="006F4023">
        <w:rPr>
          <w:lang w:val="en-AU"/>
        </w:rPr>
        <w:t>Middlemis</w:t>
      </w:r>
      <w:proofErr w:type="spellEnd"/>
      <w:r w:rsidR="00FC261A" w:rsidRPr="006F4023">
        <w:rPr>
          <w:lang w:val="en-AU"/>
        </w:rPr>
        <w:t xml:space="preserve"> and </w:t>
      </w:r>
      <w:proofErr w:type="spellStart"/>
      <w:r w:rsidR="00FC261A" w:rsidRPr="006F4023">
        <w:rPr>
          <w:lang w:val="en-AU"/>
        </w:rPr>
        <w:t>Peeters</w:t>
      </w:r>
      <w:proofErr w:type="spellEnd"/>
      <w:r w:rsidR="00FC261A" w:rsidRPr="006F4023">
        <w:rPr>
          <w:lang w:val="en-AU"/>
        </w:rPr>
        <w:t xml:space="preserve">, 2018). </w:t>
      </w:r>
    </w:p>
    <w:p w14:paraId="4290F754" w14:textId="77777777" w:rsidR="00FC261A" w:rsidRPr="006F4023" w:rsidRDefault="00FC261A" w:rsidP="00836A49">
      <w:pPr>
        <w:pStyle w:val="BodyText"/>
        <w:rPr>
          <w:lang w:val="en-AU"/>
        </w:rPr>
      </w:pPr>
      <w:r w:rsidRPr="006F4023">
        <w:rPr>
          <w:lang w:val="en-AU"/>
        </w:rPr>
        <w:t>Key items in a probabilistic risk assessment may include:</w:t>
      </w:r>
    </w:p>
    <w:p w14:paraId="4E6D38EB" w14:textId="77777777" w:rsidR="00FC261A" w:rsidRPr="006F4023" w:rsidRDefault="00FC261A" w:rsidP="00C51958">
      <w:pPr>
        <w:pStyle w:val="06DOTPOINTS"/>
        <w:numPr>
          <w:ilvl w:val="0"/>
          <w:numId w:val="20"/>
        </w:numPr>
        <w:spacing w:line="240" w:lineRule="auto"/>
        <w:rPr>
          <w:rFonts w:ascii="Garamond" w:hAnsi="Garamond"/>
        </w:rPr>
      </w:pPr>
      <w:r w:rsidRPr="006F4023">
        <w:rPr>
          <w:rFonts w:ascii="Garamond" w:hAnsi="Garamond"/>
        </w:rPr>
        <w:t>A summary, preferably probabilistic, of fault presence/absence, and of the chances that faults intersect key assets. For some systems, the juxtaposition of key assets with coal seams or possible depletion zones (for example shallower or deeper aquifers) could be included.</w:t>
      </w:r>
    </w:p>
    <w:p w14:paraId="4F2D5C52" w14:textId="77777777" w:rsidR="00FC261A" w:rsidRPr="006F4023" w:rsidRDefault="00FC261A" w:rsidP="00C51958">
      <w:pPr>
        <w:pStyle w:val="06DOTPOINTS"/>
        <w:numPr>
          <w:ilvl w:val="0"/>
          <w:numId w:val="20"/>
        </w:numPr>
        <w:spacing w:line="240" w:lineRule="auto"/>
        <w:rPr>
          <w:rFonts w:ascii="Garamond" w:hAnsi="Garamond"/>
        </w:rPr>
      </w:pPr>
      <w:r w:rsidRPr="006F4023">
        <w:rPr>
          <w:rFonts w:ascii="Garamond" w:hAnsi="Garamond"/>
        </w:rPr>
        <w:t xml:space="preserve">A temporal analysis of the likelihood of faults providing a flow pathway, including at localised points along a fault system, over the life of the project. </w:t>
      </w:r>
    </w:p>
    <w:p w14:paraId="458DFB2E" w14:textId="77777777" w:rsidR="003F7AB4" w:rsidRPr="006F4023" w:rsidRDefault="003F7AB4" w:rsidP="003F7AB4">
      <w:pPr>
        <w:pStyle w:val="06DOTPOINTS"/>
        <w:numPr>
          <w:ilvl w:val="0"/>
          <w:numId w:val="20"/>
        </w:numPr>
        <w:spacing w:line="240" w:lineRule="auto"/>
        <w:rPr>
          <w:rFonts w:ascii="Garamond" w:hAnsi="Garamond"/>
        </w:rPr>
      </w:pPr>
      <w:r w:rsidRPr="006F4023">
        <w:rPr>
          <w:rFonts w:ascii="Garamond" w:hAnsi="Garamond"/>
        </w:rPr>
        <w:t xml:space="preserve">A summary of the hydrological character of the pre-development water and ecological asset(s), including estimated or known rates and magnitudes of recharge, </w:t>
      </w:r>
      <w:proofErr w:type="gramStart"/>
      <w:r w:rsidRPr="006F4023">
        <w:rPr>
          <w:rFonts w:ascii="Garamond" w:hAnsi="Garamond"/>
        </w:rPr>
        <w:t>discharge</w:t>
      </w:r>
      <w:proofErr w:type="gramEnd"/>
      <w:r w:rsidRPr="006F4023">
        <w:rPr>
          <w:rFonts w:ascii="Garamond" w:hAnsi="Garamond"/>
        </w:rPr>
        <w:t xml:space="preserve"> and extraction (as applicable). </w:t>
      </w:r>
    </w:p>
    <w:p w14:paraId="1A3BA489" w14:textId="77777777" w:rsidR="00FC261A" w:rsidRPr="006F4023" w:rsidRDefault="00FC261A" w:rsidP="00C51958">
      <w:pPr>
        <w:pStyle w:val="06DOTPOINTS"/>
        <w:numPr>
          <w:ilvl w:val="0"/>
          <w:numId w:val="20"/>
        </w:numPr>
        <w:spacing w:line="240" w:lineRule="auto"/>
        <w:rPr>
          <w:rFonts w:ascii="Garamond" w:hAnsi="Garamond"/>
        </w:rPr>
      </w:pPr>
      <w:r w:rsidRPr="006F4023">
        <w:rPr>
          <w:rFonts w:ascii="Garamond" w:hAnsi="Garamond"/>
        </w:rPr>
        <w:t xml:space="preserve">A summary of the estimated or modelled flow rates for potential flow pathways that have been identified in the fault analysis. </w:t>
      </w:r>
    </w:p>
    <w:p w14:paraId="647E96C7" w14:textId="77777777" w:rsidR="00FC261A" w:rsidRPr="006F4023" w:rsidRDefault="00FC261A" w:rsidP="00C51958">
      <w:pPr>
        <w:pStyle w:val="06DOTPOINTS"/>
        <w:numPr>
          <w:ilvl w:val="0"/>
          <w:numId w:val="20"/>
        </w:numPr>
        <w:spacing w:line="240" w:lineRule="auto"/>
        <w:rPr>
          <w:rFonts w:ascii="Garamond" w:hAnsi="Garamond"/>
        </w:rPr>
      </w:pPr>
      <w:r w:rsidRPr="006F4023">
        <w:rPr>
          <w:rFonts w:ascii="Garamond" w:hAnsi="Garamond"/>
        </w:rPr>
        <w:lastRenderedPageBreak/>
        <w:t xml:space="preserve">Quantitative estimates of the parameter uncertainty and the probabilistic description of the flow rates and magnitudes for the key flow pathways that were identified. </w:t>
      </w:r>
    </w:p>
    <w:p w14:paraId="676B3A50" w14:textId="77777777" w:rsidR="00FC261A" w:rsidRPr="006F4023" w:rsidRDefault="00FC261A" w:rsidP="00C51958">
      <w:pPr>
        <w:pStyle w:val="06DOTPOINTS"/>
        <w:numPr>
          <w:ilvl w:val="0"/>
          <w:numId w:val="20"/>
        </w:numPr>
        <w:spacing w:line="240" w:lineRule="auto"/>
        <w:rPr>
          <w:rFonts w:ascii="Garamond" w:hAnsi="Garamond"/>
        </w:rPr>
      </w:pPr>
      <w:r w:rsidRPr="006F4023">
        <w:rPr>
          <w:rFonts w:ascii="Garamond" w:hAnsi="Garamond"/>
        </w:rPr>
        <w:t>A comparison of the pre-development and post-development flow pathways and flow rates, leading to the delineation of any causal pathways, and potential changes spatially, and over time</w:t>
      </w:r>
      <w:r w:rsidR="003F7AB4" w:rsidRPr="006F4023">
        <w:rPr>
          <w:rFonts w:ascii="Garamond" w:hAnsi="Garamond"/>
        </w:rPr>
        <w:t>.</w:t>
      </w:r>
    </w:p>
    <w:p w14:paraId="17A91018" w14:textId="56968078" w:rsidR="00FC261A" w:rsidRPr="006F4023" w:rsidRDefault="00FC261A" w:rsidP="00C51958">
      <w:pPr>
        <w:pStyle w:val="06DOTPOINTS"/>
        <w:numPr>
          <w:ilvl w:val="0"/>
          <w:numId w:val="20"/>
        </w:numPr>
        <w:spacing w:line="240" w:lineRule="auto"/>
        <w:rPr>
          <w:rFonts w:ascii="Garamond" w:hAnsi="Garamond"/>
        </w:rPr>
      </w:pPr>
      <w:r w:rsidRPr="006F4023">
        <w:rPr>
          <w:rFonts w:ascii="Garamond" w:hAnsi="Garamond"/>
        </w:rPr>
        <w:t xml:space="preserve">A summary assessment of the potential consequences if flow pathways through a fault or fault system were to result in significant changes to a groundwater asset or GDE. </w:t>
      </w:r>
    </w:p>
    <w:p w14:paraId="66CB54FB" w14:textId="77777777" w:rsidR="0032692A" w:rsidRPr="006F4023" w:rsidRDefault="0032692A" w:rsidP="00C167F0">
      <w:pPr>
        <w:pStyle w:val="06DOTPOINTS"/>
        <w:spacing w:line="240" w:lineRule="auto"/>
        <w:ind w:left="360" w:firstLine="0"/>
        <w:rPr>
          <w:rFonts w:ascii="Garamond" w:hAnsi="Garamond"/>
        </w:rPr>
      </w:pPr>
    </w:p>
    <w:p w14:paraId="476ED8B8" w14:textId="2DC35494" w:rsidR="00FC261A" w:rsidRPr="006F4023" w:rsidRDefault="00FC261A" w:rsidP="00836A49">
      <w:pPr>
        <w:pStyle w:val="BodyText"/>
        <w:rPr>
          <w:lang w:val="en-AU"/>
        </w:rPr>
      </w:pPr>
      <w:bookmarkStart w:id="420" w:name="_Toc55935185"/>
      <w:bookmarkStart w:id="421" w:name="_Toc55935277"/>
      <w:bookmarkStart w:id="422" w:name="_Toc19180632"/>
      <w:bookmarkStart w:id="423" w:name="_Toc19180633"/>
      <w:bookmarkStart w:id="424" w:name="_Toc19180634"/>
      <w:bookmarkStart w:id="425" w:name="_Toc19180635"/>
      <w:bookmarkStart w:id="426" w:name="_Toc19180636"/>
      <w:bookmarkStart w:id="427" w:name="_Toc19180637"/>
      <w:bookmarkStart w:id="428" w:name="_Toc19180638"/>
      <w:bookmarkStart w:id="429" w:name="_Toc19180639"/>
      <w:bookmarkEnd w:id="394"/>
      <w:bookmarkEnd w:id="420"/>
      <w:bookmarkEnd w:id="421"/>
      <w:bookmarkEnd w:id="422"/>
      <w:bookmarkEnd w:id="423"/>
      <w:bookmarkEnd w:id="424"/>
      <w:bookmarkEnd w:id="425"/>
      <w:bookmarkEnd w:id="426"/>
      <w:bookmarkEnd w:id="427"/>
      <w:bookmarkEnd w:id="428"/>
      <w:bookmarkEnd w:id="429"/>
    </w:p>
    <w:p w14:paraId="027CE1C4" w14:textId="77777777" w:rsidR="00836A49" w:rsidRPr="006F4023" w:rsidRDefault="00836A49" w:rsidP="00FC261A">
      <w:pPr>
        <w:rPr>
          <w:rFonts w:eastAsiaTheme="majorEastAsia" w:cstheme="majorBidi"/>
          <w:color w:val="2F5496" w:themeColor="accent1" w:themeShade="BF"/>
          <w:sz w:val="52"/>
          <w:szCs w:val="32"/>
        </w:rPr>
        <w:sectPr w:rsidR="00836A49" w:rsidRPr="006F4023" w:rsidSect="00313C0C">
          <w:headerReference w:type="even" r:id="rId51"/>
          <w:headerReference w:type="default" r:id="rId52"/>
          <w:headerReference w:type="first" r:id="rId53"/>
          <w:pgSz w:w="11906" w:h="16838" w:code="9"/>
          <w:pgMar w:top="1701" w:right="1418" w:bottom="1418" w:left="1418" w:header="567" w:footer="567" w:gutter="0"/>
          <w:cols w:space="708"/>
          <w:docGrid w:linePitch="360"/>
        </w:sectPr>
      </w:pPr>
      <w:bookmarkStart w:id="430" w:name="_Toc19180712"/>
    </w:p>
    <w:p w14:paraId="0BEDC44B" w14:textId="77777777" w:rsidR="00FC261A" w:rsidRPr="0038473D" w:rsidRDefault="00FC261A" w:rsidP="00FC261A">
      <w:pPr>
        <w:pStyle w:val="Heading1"/>
      </w:pPr>
      <w:bookmarkStart w:id="431" w:name="_Toc42765150"/>
      <w:bookmarkStart w:id="432" w:name="_Toc66967215"/>
      <w:r w:rsidRPr="0038473D">
        <w:lastRenderedPageBreak/>
        <w:t>Glossary</w:t>
      </w:r>
      <w:bookmarkEnd w:id="430"/>
      <w:bookmarkEnd w:id="431"/>
      <w:bookmarkEnd w:id="432"/>
    </w:p>
    <w:tbl>
      <w:tblPr>
        <w:tblStyle w:val="IESCTABLE1"/>
        <w:tblW w:w="0" w:type="auto"/>
        <w:tblLook w:val="04A0" w:firstRow="1" w:lastRow="0" w:firstColumn="1" w:lastColumn="0" w:noHBand="0" w:noVBand="1"/>
      </w:tblPr>
      <w:tblGrid>
        <w:gridCol w:w="2689"/>
        <w:gridCol w:w="6371"/>
      </w:tblGrid>
      <w:tr w:rsidR="00FC261A" w:rsidRPr="006F4023" w14:paraId="3E9EB777" w14:textId="77777777" w:rsidTr="00E95A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B902B8B" w14:textId="77777777" w:rsidR="00FC261A" w:rsidRPr="006F4023" w:rsidRDefault="00FC261A" w:rsidP="00E95AD5">
            <w:pPr>
              <w:pStyle w:val="TableHeaderRow"/>
              <w:rPr>
                <w:lang w:val="en-AU"/>
              </w:rPr>
            </w:pPr>
            <w:r w:rsidRPr="006F4023">
              <w:rPr>
                <w:lang w:val="en-AU"/>
              </w:rPr>
              <w:t>Term</w:t>
            </w:r>
          </w:p>
        </w:tc>
        <w:tc>
          <w:tcPr>
            <w:tcW w:w="6371" w:type="dxa"/>
          </w:tcPr>
          <w:p w14:paraId="24E34A1B" w14:textId="77777777" w:rsidR="00FC261A" w:rsidRPr="006F4023" w:rsidRDefault="00FC261A" w:rsidP="00E95AD5">
            <w:pPr>
              <w:pStyle w:val="TableHeaderRow"/>
              <w:cnfStyle w:val="100000000000" w:firstRow="1" w:lastRow="0" w:firstColumn="0" w:lastColumn="0" w:oddVBand="0" w:evenVBand="0" w:oddHBand="0" w:evenHBand="0" w:firstRowFirstColumn="0" w:firstRowLastColumn="0" w:lastRowFirstColumn="0" w:lastRowLastColumn="0"/>
              <w:rPr>
                <w:lang w:val="en-AU"/>
              </w:rPr>
            </w:pPr>
            <w:r w:rsidRPr="006F4023">
              <w:rPr>
                <w:lang w:val="en-AU"/>
              </w:rPr>
              <w:t>Description and Explanation</w:t>
            </w:r>
          </w:p>
        </w:tc>
      </w:tr>
      <w:tr w:rsidR="00FC261A" w:rsidRPr="006F4023" w14:paraId="28AF260C" w14:textId="77777777" w:rsidTr="00E95A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9F118E9" w14:textId="77777777" w:rsidR="00FC261A" w:rsidRPr="006F4023" w:rsidRDefault="00FC261A" w:rsidP="00E95AD5">
            <w:pPr>
              <w:pStyle w:val="TableText"/>
              <w:rPr>
                <w:b w:val="0"/>
                <w:lang w:val="en-AU"/>
              </w:rPr>
            </w:pPr>
            <w:r w:rsidRPr="006F4023">
              <w:rPr>
                <w:lang w:val="en-AU"/>
              </w:rPr>
              <w:t>Allan Map</w:t>
            </w:r>
          </w:p>
        </w:tc>
        <w:tc>
          <w:tcPr>
            <w:tcW w:w="6371" w:type="dxa"/>
          </w:tcPr>
          <w:p w14:paraId="615583D3" w14:textId="77777777" w:rsidR="00FC261A" w:rsidRPr="006F4023" w:rsidRDefault="00FC261A"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sidRPr="006F4023">
              <w:rPr>
                <w:lang w:val="en-AU"/>
              </w:rPr>
              <w:t>A fault plan profile view. A cross section where the view direction is essentially normal to the fault plane. Features such as juxtapositions across the fault are easiest to portray in these views, and it is easy to measure areas of juxtaposition. Areas of juxtaposition are a key input to hydrogeological modelling. For more information or a complete description, consult Allan (1989).</w:t>
            </w:r>
          </w:p>
        </w:tc>
      </w:tr>
      <w:tr w:rsidR="00FC261A" w:rsidRPr="006F4023" w14:paraId="73474617" w14:textId="77777777" w:rsidTr="00E95A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2535F84" w14:textId="77777777" w:rsidR="00FC261A" w:rsidRPr="006F4023" w:rsidRDefault="00FC261A" w:rsidP="00E95AD5">
            <w:pPr>
              <w:pStyle w:val="TableText"/>
              <w:rPr>
                <w:b w:val="0"/>
                <w:lang w:val="en-AU"/>
              </w:rPr>
            </w:pPr>
            <w:r w:rsidRPr="006F4023">
              <w:rPr>
                <w:lang w:val="en-AU"/>
              </w:rPr>
              <w:t>Aperture</w:t>
            </w:r>
          </w:p>
        </w:tc>
        <w:tc>
          <w:tcPr>
            <w:tcW w:w="6371" w:type="dxa"/>
          </w:tcPr>
          <w:p w14:paraId="33843DE5" w14:textId="77777777" w:rsidR="00FC261A" w:rsidRPr="006F4023" w:rsidRDefault="00FC261A" w:rsidP="00E95AD5">
            <w:pPr>
              <w:pStyle w:val="TableText"/>
              <w:cnfStyle w:val="000000010000" w:firstRow="0" w:lastRow="0" w:firstColumn="0" w:lastColumn="0" w:oddVBand="0" w:evenVBand="0" w:oddHBand="0" w:evenHBand="1" w:firstRowFirstColumn="0" w:firstRowLastColumn="0" w:lastRowFirstColumn="0" w:lastRowLastColumn="0"/>
              <w:rPr>
                <w:lang w:val="en-AU"/>
              </w:rPr>
            </w:pPr>
            <w:r w:rsidRPr="006F4023">
              <w:rPr>
                <w:lang w:val="en-AU"/>
              </w:rPr>
              <w:t>The open width or space between the two walls or sides of a fracture discontinuity. This</w:t>
            </w:r>
            <w:r w:rsidRPr="006F4023" w:rsidDel="005101A3">
              <w:rPr>
                <w:lang w:val="en-AU"/>
              </w:rPr>
              <w:t xml:space="preserve"> </w:t>
            </w:r>
            <w:r w:rsidRPr="006F4023">
              <w:rPr>
                <w:lang w:val="en-AU"/>
              </w:rPr>
              <w:t>aperture is measured in a direction approximately normal to the fracture surfaces and is difficult to accurately predict.</w:t>
            </w:r>
          </w:p>
        </w:tc>
      </w:tr>
      <w:tr w:rsidR="00FC261A" w:rsidRPr="006F4023" w14:paraId="0D5DDA0C" w14:textId="77777777" w:rsidTr="00E95A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058E0A3" w14:textId="77777777" w:rsidR="00FC261A" w:rsidRPr="006F4023" w:rsidRDefault="00FC261A" w:rsidP="00E95AD5">
            <w:pPr>
              <w:pStyle w:val="TableText"/>
              <w:rPr>
                <w:b w:val="0"/>
                <w:lang w:val="en-AU"/>
              </w:rPr>
            </w:pPr>
            <w:r w:rsidRPr="006F4023">
              <w:rPr>
                <w:lang w:val="en-AU"/>
              </w:rPr>
              <w:t>Assets</w:t>
            </w:r>
          </w:p>
        </w:tc>
        <w:tc>
          <w:tcPr>
            <w:tcW w:w="6371" w:type="dxa"/>
          </w:tcPr>
          <w:p w14:paraId="3CAE7F7E" w14:textId="77777777" w:rsidR="00FC261A" w:rsidRPr="006F4023" w:rsidRDefault="00FC261A"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sidRPr="006F4023">
              <w:rPr>
                <w:lang w:val="en-AU"/>
              </w:rPr>
              <w:t>In this document, asset or assets is used to refer collectively to groundwater assets or related ecological assets. Assets refers to an extensive list including but not limited to springs, groundwater dependent ecosystems, aquifers, well fields, wetlands, rivers, streams, and lakes.</w:t>
            </w:r>
          </w:p>
        </w:tc>
      </w:tr>
      <w:tr w:rsidR="00FC261A" w:rsidRPr="006F4023" w14:paraId="7D25204B" w14:textId="77777777" w:rsidTr="00E95A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482A698" w14:textId="77777777" w:rsidR="00FC261A" w:rsidRPr="006F4023" w:rsidRDefault="00FC261A" w:rsidP="00E95AD5">
            <w:pPr>
              <w:pStyle w:val="TableText"/>
              <w:rPr>
                <w:b w:val="0"/>
                <w:bCs w:val="0"/>
                <w:lang w:val="en-AU"/>
              </w:rPr>
            </w:pPr>
            <w:r w:rsidRPr="006F4023">
              <w:rPr>
                <w:lang w:val="en-AU"/>
              </w:rPr>
              <w:t>Balanced Cross Section</w:t>
            </w:r>
          </w:p>
        </w:tc>
        <w:tc>
          <w:tcPr>
            <w:tcW w:w="6371" w:type="dxa"/>
          </w:tcPr>
          <w:p w14:paraId="033E03D1" w14:textId="77777777" w:rsidR="00FC261A" w:rsidRPr="006F4023" w:rsidRDefault="00FC261A" w:rsidP="00E95AD5">
            <w:pPr>
              <w:pStyle w:val="TableText"/>
              <w:cnfStyle w:val="000000010000" w:firstRow="0" w:lastRow="0" w:firstColumn="0" w:lastColumn="0" w:oddVBand="0" w:evenVBand="0" w:oddHBand="0" w:evenHBand="1" w:firstRowFirstColumn="0" w:firstRowLastColumn="0" w:lastRowFirstColumn="0" w:lastRowLastColumn="0"/>
              <w:rPr>
                <w:lang w:val="en-AU"/>
              </w:rPr>
            </w:pPr>
            <w:r w:rsidRPr="006F4023">
              <w:rPr>
                <w:lang w:val="en-AU"/>
              </w:rPr>
              <w:t>A cross section that has been checked to ensure that the changes in shape, and the changes in horizontal length, of the major stratigraphic surfaces as depicted in 2D are reasonable.</w:t>
            </w:r>
            <w:r w:rsidR="008A4478" w:rsidRPr="006F4023">
              <w:rPr>
                <w:lang w:val="en-AU"/>
              </w:rPr>
              <w:t xml:space="preserve"> </w:t>
            </w:r>
            <w:r w:rsidRPr="006F4023">
              <w:rPr>
                <w:lang w:val="en-AU"/>
              </w:rPr>
              <w:t xml:space="preserve">There is not extensive difference between the different layers. This strategy for validating a cross section drawing is appropriate for most coal mining or CSG </w:t>
            </w:r>
            <w:proofErr w:type="gramStart"/>
            <w:r w:rsidRPr="006F4023">
              <w:rPr>
                <w:lang w:val="en-AU"/>
              </w:rPr>
              <w:t>scenarios, because</w:t>
            </w:r>
            <w:proofErr w:type="gramEnd"/>
            <w:r w:rsidRPr="006F4023">
              <w:rPr>
                <w:lang w:val="en-AU"/>
              </w:rPr>
              <w:t xml:space="preserve"> it is works in relatively shallow levels in the earth’s crust where ductile changes in shape are minimal. </w:t>
            </w:r>
          </w:p>
        </w:tc>
      </w:tr>
      <w:tr w:rsidR="00FC261A" w:rsidRPr="006F4023" w14:paraId="31F1E453" w14:textId="77777777" w:rsidTr="00E95A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454E65F" w14:textId="77777777" w:rsidR="00FC261A" w:rsidRPr="006F4023" w:rsidRDefault="00FC261A" w:rsidP="00E95AD5">
            <w:pPr>
              <w:pStyle w:val="TableText"/>
              <w:rPr>
                <w:b w:val="0"/>
                <w:lang w:val="en-AU"/>
              </w:rPr>
            </w:pPr>
            <w:r w:rsidRPr="006F4023">
              <w:rPr>
                <w:lang w:val="en-AU"/>
              </w:rPr>
              <w:t>Cataclasis/</w:t>
            </w:r>
            <w:proofErr w:type="spellStart"/>
            <w:r w:rsidRPr="006F4023">
              <w:rPr>
                <w:lang w:val="en-AU"/>
              </w:rPr>
              <w:t>cataclastic</w:t>
            </w:r>
            <w:proofErr w:type="spellEnd"/>
          </w:p>
        </w:tc>
        <w:tc>
          <w:tcPr>
            <w:tcW w:w="6371" w:type="dxa"/>
          </w:tcPr>
          <w:p w14:paraId="18167E24" w14:textId="77777777" w:rsidR="00FC261A" w:rsidRPr="006F4023" w:rsidRDefault="00FC261A"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sidRPr="006F4023">
              <w:rPr>
                <w:lang w:val="en-AU"/>
              </w:rPr>
              <w:t xml:space="preserve">Cataclasis is a mechanism that results in grain size reduction of the rock material due to crushing and deformation. This frequently occurs in a fault zone. </w:t>
            </w:r>
            <w:proofErr w:type="spellStart"/>
            <w:r w:rsidRPr="006F4023">
              <w:rPr>
                <w:lang w:val="en-AU"/>
              </w:rPr>
              <w:t>Cataclastic</w:t>
            </w:r>
            <w:proofErr w:type="spellEnd"/>
            <w:r w:rsidRPr="006F4023">
              <w:rPr>
                <w:lang w:val="en-AU"/>
              </w:rPr>
              <w:t xml:space="preserve"> is the adjective used to describe material that has developed through cataclasis.</w:t>
            </w:r>
          </w:p>
        </w:tc>
      </w:tr>
      <w:tr w:rsidR="00FC261A" w:rsidRPr="006F4023" w14:paraId="5AC3A3FC" w14:textId="77777777" w:rsidTr="00E95A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7D1154D" w14:textId="77777777" w:rsidR="00FC261A" w:rsidRPr="006F4023" w:rsidRDefault="00FC261A" w:rsidP="00E95AD5">
            <w:pPr>
              <w:pStyle w:val="TableText"/>
              <w:rPr>
                <w:b w:val="0"/>
                <w:lang w:val="en-AU"/>
              </w:rPr>
            </w:pPr>
            <w:r w:rsidRPr="006F4023">
              <w:rPr>
                <w:lang w:val="en-AU"/>
              </w:rPr>
              <w:t>Causal Pathway</w:t>
            </w:r>
          </w:p>
        </w:tc>
        <w:tc>
          <w:tcPr>
            <w:tcW w:w="6371" w:type="dxa"/>
          </w:tcPr>
          <w:p w14:paraId="1B2AF9F3" w14:textId="77777777" w:rsidR="00FC261A" w:rsidRPr="006F4023" w:rsidRDefault="00FC261A" w:rsidP="00E95AD5">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Garamond" w:hAnsi="Garamond"/>
                <w:sz w:val="20"/>
                <w:szCs w:val="20"/>
              </w:rPr>
            </w:pPr>
            <w:r w:rsidRPr="006F4023">
              <w:rPr>
                <w:rFonts w:ascii="Garamond" w:hAnsi="Garamond"/>
                <w:i/>
                <w:iCs/>
                <w:sz w:val="20"/>
                <w:szCs w:val="20"/>
              </w:rPr>
              <w:t>Causal pathway</w:t>
            </w:r>
            <w:r w:rsidRPr="006F4023">
              <w:rPr>
                <w:rFonts w:ascii="Garamond" w:hAnsi="Garamond"/>
                <w:sz w:val="20"/>
                <w:szCs w:val="20"/>
              </w:rPr>
              <w:t xml:space="preserve"> is defined in other Explanatory Notes as “a</w:t>
            </w:r>
            <w:r w:rsidRPr="006F4023">
              <w:rPr>
                <w:rFonts w:ascii="Garamond" w:hAnsi="Garamond" w:cs="Adobe Garamond Pro"/>
                <w:sz w:val="20"/>
                <w:szCs w:val="20"/>
              </w:rPr>
              <w:t xml:space="preserve"> logical chain of events either planned or unplanned that link coal resource development and potential impacts on water resources and water-dependent assets” </w:t>
            </w:r>
            <w:r w:rsidRPr="006F4023">
              <w:rPr>
                <w:rFonts w:ascii="Garamond" w:hAnsi="Garamond"/>
                <w:sz w:val="20"/>
                <w:szCs w:val="20"/>
              </w:rPr>
              <w:t xml:space="preserve">(see Doody et al, 2019 and </w:t>
            </w:r>
            <w:proofErr w:type="spellStart"/>
            <w:r w:rsidRPr="006F4023">
              <w:rPr>
                <w:rFonts w:ascii="Garamond" w:hAnsi="Garamond"/>
                <w:sz w:val="20"/>
                <w:szCs w:val="20"/>
              </w:rPr>
              <w:t>Middlemis</w:t>
            </w:r>
            <w:proofErr w:type="spellEnd"/>
            <w:r w:rsidRPr="006F4023">
              <w:rPr>
                <w:rFonts w:ascii="Garamond" w:hAnsi="Garamond"/>
                <w:sz w:val="20"/>
                <w:szCs w:val="20"/>
              </w:rPr>
              <w:t xml:space="preserve"> and </w:t>
            </w:r>
            <w:proofErr w:type="spellStart"/>
            <w:r w:rsidRPr="006F4023">
              <w:rPr>
                <w:rFonts w:ascii="Garamond" w:hAnsi="Garamond"/>
                <w:sz w:val="20"/>
                <w:szCs w:val="20"/>
              </w:rPr>
              <w:t>Peeters</w:t>
            </w:r>
            <w:proofErr w:type="spellEnd"/>
            <w:r w:rsidRPr="006F4023">
              <w:rPr>
                <w:rFonts w:ascii="Garamond" w:hAnsi="Garamond"/>
                <w:sz w:val="20"/>
                <w:szCs w:val="20"/>
              </w:rPr>
              <w:t xml:space="preserve">, 2018). In this Explanatory Note, the terms </w:t>
            </w:r>
            <w:r w:rsidRPr="006F4023">
              <w:rPr>
                <w:rFonts w:ascii="Garamond" w:hAnsi="Garamond"/>
                <w:i/>
                <w:iCs/>
                <w:sz w:val="20"/>
                <w:szCs w:val="20"/>
              </w:rPr>
              <w:t>pathway</w:t>
            </w:r>
            <w:r w:rsidRPr="006F4023">
              <w:rPr>
                <w:rFonts w:ascii="Garamond" w:hAnsi="Garamond"/>
                <w:sz w:val="20"/>
                <w:szCs w:val="20"/>
              </w:rPr>
              <w:t xml:space="preserve">, </w:t>
            </w:r>
            <w:r w:rsidRPr="006F4023">
              <w:rPr>
                <w:rFonts w:ascii="Garamond" w:hAnsi="Garamond"/>
                <w:i/>
                <w:iCs/>
                <w:sz w:val="20"/>
                <w:szCs w:val="20"/>
              </w:rPr>
              <w:t>flow pathway</w:t>
            </w:r>
            <w:r w:rsidRPr="006F4023">
              <w:rPr>
                <w:rFonts w:ascii="Garamond" w:hAnsi="Garamond"/>
                <w:sz w:val="20"/>
                <w:szCs w:val="20"/>
              </w:rPr>
              <w:t xml:space="preserve">, and </w:t>
            </w:r>
            <w:r w:rsidRPr="006F4023">
              <w:rPr>
                <w:rFonts w:ascii="Garamond" w:hAnsi="Garamond"/>
                <w:i/>
                <w:iCs/>
                <w:sz w:val="20"/>
                <w:szCs w:val="20"/>
              </w:rPr>
              <w:t>causal pathway</w:t>
            </w:r>
            <w:r w:rsidRPr="006F4023">
              <w:rPr>
                <w:rFonts w:ascii="Garamond" w:hAnsi="Garamond"/>
                <w:sz w:val="20"/>
                <w:szCs w:val="20"/>
              </w:rPr>
              <w:t xml:space="preserve"> are used in specific ways, and each term has specific implications. </w:t>
            </w:r>
            <w:r w:rsidRPr="006F4023">
              <w:rPr>
                <w:rFonts w:ascii="Garamond" w:hAnsi="Garamond"/>
                <w:i/>
                <w:iCs/>
                <w:sz w:val="20"/>
                <w:szCs w:val="20"/>
              </w:rPr>
              <w:t xml:space="preserve">Pathway </w:t>
            </w:r>
            <w:r w:rsidRPr="006F4023">
              <w:rPr>
                <w:rFonts w:ascii="Garamond" w:hAnsi="Garamond"/>
                <w:sz w:val="20"/>
                <w:szCs w:val="20"/>
              </w:rPr>
              <w:t xml:space="preserve">alone is used to denote a possible or potential pathway (along a linear or 3D path) from one location to another (for example between a groundwater asset and a coal seam). </w:t>
            </w:r>
            <w:r w:rsidRPr="006F4023">
              <w:rPr>
                <w:rFonts w:ascii="Garamond" w:hAnsi="Garamond"/>
                <w:i/>
                <w:iCs/>
                <w:sz w:val="20"/>
                <w:szCs w:val="20"/>
              </w:rPr>
              <w:t>Flow pathway</w:t>
            </w:r>
            <w:r w:rsidRPr="006F4023">
              <w:rPr>
                <w:rFonts w:ascii="Garamond" w:hAnsi="Garamond"/>
                <w:sz w:val="20"/>
                <w:szCs w:val="20"/>
              </w:rPr>
              <w:t xml:space="preserve"> is used to denote a pathway in 3D which has been assessed as likely to allow water flow at a rate or magnitude that is significant in the overall hydrogeological system.</w:t>
            </w:r>
            <w:r w:rsidR="008A4478" w:rsidRPr="006F4023">
              <w:rPr>
                <w:rFonts w:ascii="Garamond" w:hAnsi="Garamond"/>
                <w:sz w:val="20"/>
                <w:szCs w:val="20"/>
              </w:rPr>
              <w:t xml:space="preserve"> </w:t>
            </w:r>
            <w:r w:rsidRPr="006F4023">
              <w:rPr>
                <w:rFonts w:ascii="Garamond" w:hAnsi="Garamond" w:cs="Garamond"/>
                <w:sz w:val="20"/>
                <w:szCs w:val="20"/>
              </w:rPr>
              <w:t xml:space="preserve"> A </w:t>
            </w:r>
            <w:r w:rsidRPr="006F4023">
              <w:rPr>
                <w:rFonts w:ascii="Garamond" w:hAnsi="Garamond" w:cs="Garamond"/>
                <w:i/>
                <w:iCs/>
                <w:sz w:val="20"/>
                <w:szCs w:val="20"/>
              </w:rPr>
              <w:t>causal pathway</w:t>
            </w:r>
            <w:r w:rsidRPr="006F4023">
              <w:rPr>
                <w:rFonts w:ascii="Garamond" w:hAnsi="Garamond" w:cs="Garamond"/>
                <w:sz w:val="20"/>
                <w:szCs w:val="20"/>
              </w:rPr>
              <w:t xml:space="preserve"> is a not defined as a path in 3D, although it may include or imply such a path. </w:t>
            </w:r>
            <w:r w:rsidRPr="006F4023">
              <w:rPr>
                <w:rFonts w:ascii="Garamond" w:hAnsi="Garamond" w:cs="Garamond"/>
                <w:i/>
                <w:iCs/>
                <w:sz w:val="20"/>
                <w:szCs w:val="20"/>
              </w:rPr>
              <w:t>Causal pathway</w:t>
            </w:r>
            <w:r w:rsidRPr="006F4023">
              <w:rPr>
                <w:rFonts w:ascii="Garamond" w:hAnsi="Garamond" w:cs="Garamond"/>
                <w:sz w:val="20"/>
                <w:szCs w:val="20"/>
              </w:rPr>
              <w:t xml:space="preserve"> implies a sequence of events which has an impact on a groundwater asset. </w:t>
            </w:r>
          </w:p>
        </w:tc>
      </w:tr>
      <w:tr w:rsidR="00FC261A" w:rsidRPr="006F4023" w14:paraId="5E48F001" w14:textId="77777777" w:rsidTr="00E95A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E76EA0B" w14:textId="77777777" w:rsidR="00FC261A" w:rsidRPr="006F4023" w:rsidRDefault="00FC261A" w:rsidP="00E95AD5">
            <w:pPr>
              <w:pStyle w:val="TableText"/>
              <w:rPr>
                <w:b w:val="0"/>
                <w:lang w:val="en-AU"/>
              </w:rPr>
            </w:pPr>
            <w:r w:rsidRPr="006F4023">
              <w:rPr>
                <w:lang w:val="en-AU"/>
              </w:rPr>
              <w:t>Damage zone or Fault Damage zone</w:t>
            </w:r>
          </w:p>
        </w:tc>
        <w:tc>
          <w:tcPr>
            <w:tcW w:w="6371" w:type="dxa"/>
          </w:tcPr>
          <w:p w14:paraId="52FD6643" w14:textId="77777777" w:rsidR="00FC261A" w:rsidRPr="006F4023" w:rsidRDefault="00FC261A"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sidRPr="006F4023">
              <w:rPr>
                <w:lang w:val="en-AU"/>
              </w:rPr>
              <w:t>Name given to the fractured or otherwise disrupted rock to one or both sides of the fault principal slip surfaces or the fault core.</w:t>
            </w:r>
          </w:p>
        </w:tc>
      </w:tr>
      <w:tr w:rsidR="00FC261A" w:rsidRPr="006F4023" w14:paraId="0F12D09F" w14:textId="77777777" w:rsidTr="00E95A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F2C4422" w14:textId="77777777" w:rsidR="00FC261A" w:rsidRPr="006F4023" w:rsidRDefault="00FC261A" w:rsidP="00E95AD5">
            <w:pPr>
              <w:pStyle w:val="TableText"/>
              <w:rPr>
                <w:b w:val="0"/>
                <w:lang w:val="en-AU"/>
              </w:rPr>
            </w:pPr>
            <w:r w:rsidRPr="006F4023">
              <w:rPr>
                <w:lang w:val="en-AU"/>
              </w:rPr>
              <w:t>Dip</w:t>
            </w:r>
          </w:p>
        </w:tc>
        <w:tc>
          <w:tcPr>
            <w:tcW w:w="6371" w:type="dxa"/>
          </w:tcPr>
          <w:p w14:paraId="503EAA29" w14:textId="77777777" w:rsidR="00FC261A" w:rsidRPr="006F4023" w:rsidRDefault="00FC261A" w:rsidP="00E95AD5">
            <w:pPr>
              <w:pStyle w:val="TableText"/>
              <w:cnfStyle w:val="000000010000" w:firstRow="0" w:lastRow="0" w:firstColumn="0" w:lastColumn="0" w:oddVBand="0" w:evenVBand="0" w:oddHBand="0" w:evenHBand="1" w:firstRowFirstColumn="0" w:firstRowLastColumn="0" w:lastRowFirstColumn="0" w:lastRowLastColumn="0"/>
              <w:rPr>
                <w:lang w:val="en-AU"/>
              </w:rPr>
            </w:pPr>
            <w:r w:rsidRPr="006F4023">
              <w:rPr>
                <w:lang w:val="en-AU"/>
              </w:rPr>
              <w:t xml:space="preserve">The angle of inclination of a planar feature. A horizontal plane has a dip of 0 degrees while a vertical plane has a dip of 90 degrees. </w:t>
            </w:r>
          </w:p>
        </w:tc>
      </w:tr>
      <w:tr w:rsidR="00FC261A" w:rsidRPr="006F4023" w14:paraId="2E444A43" w14:textId="77777777" w:rsidTr="00E95A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FDA228D" w14:textId="77777777" w:rsidR="00FC261A" w:rsidRPr="006F4023" w:rsidRDefault="00FC261A" w:rsidP="00E95AD5">
            <w:pPr>
              <w:pStyle w:val="TableText"/>
              <w:rPr>
                <w:b w:val="0"/>
                <w:bCs w:val="0"/>
                <w:lang w:val="en-AU"/>
              </w:rPr>
            </w:pPr>
            <w:r w:rsidRPr="006F4023">
              <w:rPr>
                <w:lang w:val="en-AU"/>
              </w:rPr>
              <w:lastRenderedPageBreak/>
              <w:t>Dip-direction</w:t>
            </w:r>
          </w:p>
        </w:tc>
        <w:tc>
          <w:tcPr>
            <w:tcW w:w="6371" w:type="dxa"/>
          </w:tcPr>
          <w:p w14:paraId="4E6C5D4E" w14:textId="77777777" w:rsidR="00FC261A" w:rsidRPr="006F4023" w:rsidRDefault="00FC261A"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sidRPr="006F4023">
              <w:rPr>
                <w:lang w:val="en-AU"/>
              </w:rPr>
              <w:t xml:space="preserve">The direction of the dip or alternatively the direction perpendicular to the strike (see “strike” below), and in the direction downwards (not upwards) on the inclined plane. </w:t>
            </w:r>
          </w:p>
        </w:tc>
      </w:tr>
      <w:tr w:rsidR="00FC261A" w:rsidRPr="006F4023" w14:paraId="401BBB5A" w14:textId="77777777" w:rsidTr="00E95A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CE1A66A" w14:textId="77777777" w:rsidR="00FC261A" w:rsidRPr="006F4023" w:rsidRDefault="00FC261A" w:rsidP="00E95AD5">
            <w:pPr>
              <w:pStyle w:val="TableText"/>
              <w:rPr>
                <w:b w:val="0"/>
                <w:lang w:val="en-AU"/>
              </w:rPr>
            </w:pPr>
            <w:r w:rsidRPr="006F4023">
              <w:rPr>
                <w:lang w:val="en-AU"/>
              </w:rPr>
              <w:t>Fault Core</w:t>
            </w:r>
          </w:p>
        </w:tc>
        <w:tc>
          <w:tcPr>
            <w:tcW w:w="6371" w:type="dxa"/>
          </w:tcPr>
          <w:p w14:paraId="47B9DB38" w14:textId="77777777" w:rsidR="00FC261A" w:rsidRPr="006F4023" w:rsidRDefault="00FC261A" w:rsidP="00E95AD5">
            <w:pPr>
              <w:pStyle w:val="TableText"/>
              <w:cnfStyle w:val="000000010000" w:firstRow="0" w:lastRow="0" w:firstColumn="0" w:lastColumn="0" w:oddVBand="0" w:evenVBand="0" w:oddHBand="0" w:evenHBand="1" w:firstRowFirstColumn="0" w:firstRowLastColumn="0" w:lastRowFirstColumn="0" w:lastRowLastColumn="0"/>
              <w:rPr>
                <w:lang w:val="en-AU"/>
              </w:rPr>
            </w:pPr>
            <w:r w:rsidRPr="006F4023">
              <w:rPr>
                <w:lang w:val="en-AU"/>
              </w:rPr>
              <w:t xml:space="preserve">Name given to the fine-grained rock material in a fault zone that has been reduced in grain size due to frictional processes or cataclasis. </w:t>
            </w:r>
            <w:proofErr w:type="gramStart"/>
            <w:r w:rsidRPr="006F4023">
              <w:rPr>
                <w:lang w:val="en-AU"/>
              </w:rPr>
              <w:t>Usually</w:t>
            </w:r>
            <w:proofErr w:type="gramEnd"/>
            <w:r w:rsidRPr="006F4023">
              <w:rPr>
                <w:lang w:val="en-AU"/>
              </w:rPr>
              <w:t xml:space="preserve"> the fault core is adjacent to the fault principal slip surfaces, although this is not always the case. Since the fault core materials are normally of finer grain size than the rock to either side of the fault, fault core zones can inhibit flow.</w:t>
            </w:r>
          </w:p>
        </w:tc>
      </w:tr>
      <w:tr w:rsidR="00FC261A" w:rsidRPr="006F4023" w14:paraId="0FCF6544" w14:textId="77777777" w:rsidTr="00E95A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2EF3488" w14:textId="77777777" w:rsidR="00FC261A" w:rsidRPr="006F4023" w:rsidRDefault="00FC261A" w:rsidP="00E95AD5">
            <w:pPr>
              <w:pStyle w:val="TableText"/>
              <w:rPr>
                <w:b w:val="0"/>
                <w:lang w:val="en-AU"/>
              </w:rPr>
            </w:pPr>
            <w:r w:rsidRPr="006F4023">
              <w:rPr>
                <w:lang w:val="en-AU"/>
              </w:rPr>
              <w:t>Fault Triangle Diagram</w:t>
            </w:r>
          </w:p>
        </w:tc>
        <w:tc>
          <w:tcPr>
            <w:tcW w:w="6371" w:type="dxa"/>
          </w:tcPr>
          <w:p w14:paraId="2DBEE7CD" w14:textId="77777777" w:rsidR="00FC261A" w:rsidRPr="006F4023" w:rsidRDefault="00FC261A"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sidRPr="006F4023">
              <w:rPr>
                <w:lang w:val="en-AU"/>
              </w:rPr>
              <w:t>A 2D plot showing typically depth on the vertical axis and increasing fault displacement on the horizontal axis. A triangle diagram can be used to display the vertical extent of juxtaposition between stratigraphic or hydrogeological units.</w:t>
            </w:r>
          </w:p>
        </w:tc>
      </w:tr>
      <w:tr w:rsidR="00FC261A" w:rsidRPr="006F4023" w14:paraId="63D19982" w14:textId="77777777" w:rsidTr="00E95A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26C9841" w14:textId="77777777" w:rsidR="00FC261A" w:rsidRPr="006F4023" w:rsidRDefault="00FC261A" w:rsidP="00E95AD5">
            <w:pPr>
              <w:pStyle w:val="TableText"/>
              <w:rPr>
                <w:b w:val="0"/>
                <w:lang w:val="en-AU"/>
              </w:rPr>
            </w:pPr>
            <w:r w:rsidRPr="006F4023">
              <w:rPr>
                <w:lang w:val="en-AU"/>
              </w:rPr>
              <w:t>Flow Pathway</w:t>
            </w:r>
          </w:p>
        </w:tc>
        <w:tc>
          <w:tcPr>
            <w:tcW w:w="6371" w:type="dxa"/>
          </w:tcPr>
          <w:p w14:paraId="3B19B215" w14:textId="77777777" w:rsidR="00FC261A" w:rsidRPr="006F4023" w:rsidRDefault="00FC261A" w:rsidP="00E95AD5">
            <w:pPr>
              <w:pStyle w:val="TableText"/>
              <w:cnfStyle w:val="000000010000" w:firstRow="0" w:lastRow="0" w:firstColumn="0" w:lastColumn="0" w:oddVBand="0" w:evenVBand="0" w:oddHBand="0" w:evenHBand="1" w:firstRowFirstColumn="0" w:firstRowLastColumn="0" w:lastRowFirstColumn="0" w:lastRowLastColumn="0"/>
              <w:rPr>
                <w:lang w:val="en-AU"/>
              </w:rPr>
            </w:pPr>
            <w:r w:rsidRPr="006F4023">
              <w:rPr>
                <w:lang w:val="en-AU"/>
              </w:rPr>
              <w:t xml:space="preserve">A potential or likely pathway in 3D along which water or other fluid may flow. In this Explanatory Note, the terms </w:t>
            </w:r>
            <w:r w:rsidRPr="006F4023">
              <w:rPr>
                <w:i/>
                <w:iCs/>
                <w:lang w:val="en-AU"/>
              </w:rPr>
              <w:t>pathway</w:t>
            </w:r>
            <w:r w:rsidRPr="006F4023">
              <w:rPr>
                <w:lang w:val="en-AU"/>
              </w:rPr>
              <w:t xml:space="preserve">, </w:t>
            </w:r>
            <w:r w:rsidRPr="006F4023">
              <w:rPr>
                <w:i/>
                <w:iCs/>
                <w:lang w:val="en-AU"/>
              </w:rPr>
              <w:t>flow pathway</w:t>
            </w:r>
            <w:r w:rsidRPr="006F4023">
              <w:rPr>
                <w:lang w:val="en-AU"/>
              </w:rPr>
              <w:t xml:space="preserve">, and </w:t>
            </w:r>
            <w:r w:rsidRPr="006F4023">
              <w:rPr>
                <w:i/>
                <w:iCs/>
                <w:lang w:val="en-AU"/>
              </w:rPr>
              <w:t>causal pathway</w:t>
            </w:r>
            <w:r w:rsidRPr="006F4023">
              <w:rPr>
                <w:lang w:val="en-AU"/>
              </w:rPr>
              <w:t xml:space="preserve"> are used in specific ways, and each term has specific implications. </w:t>
            </w:r>
            <w:r w:rsidRPr="006F4023">
              <w:rPr>
                <w:i/>
                <w:iCs/>
                <w:lang w:val="en-AU"/>
              </w:rPr>
              <w:t xml:space="preserve">Pathway </w:t>
            </w:r>
            <w:r w:rsidRPr="006F4023">
              <w:rPr>
                <w:lang w:val="en-AU"/>
              </w:rPr>
              <w:t xml:space="preserve">alone is used to denote a possible or potential pathway (along a linear or 3D path) from one location to another (for example between a groundwater asset and a coal seam or between a rainwater source region and an aquifer). </w:t>
            </w:r>
            <w:r w:rsidRPr="006F4023">
              <w:rPr>
                <w:i/>
                <w:iCs/>
                <w:lang w:val="en-AU"/>
              </w:rPr>
              <w:t>Flow pathway</w:t>
            </w:r>
            <w:r w:rsidRPr="006F4023">
              <w:rPr>
                <w:lang w:val="en-AU"/>
              </w:rPr>
              <w:t xml:space="preserve"> is used to denote a pathway in 3D which has been assessed as likely to allow water flow at a rate or magnitude that is significant in the overall hydrogeological system. A </w:t>
            </w:r>
            <w:r w:rsidRPr="006F4023">
              <w:rPr>
                <w:i/>
                <w:lang w:val="en-AU"/>
              </w:rPr>
              <w:t>c</w:t>
            </w:r>
            <w:r w:rsidRPr="006F4023">
              <w:rPr>
                <w:i/>
                <w:iCs/>
                <w:lang w:val="en-AU"/>
              </w:rPr>
              <w:t>ausal pathway</w:t>
            </w:r>
            <w:r w:rsidRPr="006F4023">
              <w:rPr>
                <w:lang w:val="en-AU"/>
              </w:rPr>
              <w:t xml:space="preserve"> is defined in other Explanatory Notes as “a</w:t>
            </w:r>
            <w:r w:rsidRPr="006F4023">
              <w:rPr>
                <w:rFonts w:cs="Adobe Garamond Pro"/>
                <w:lang w:val="en-AU"/>
              </w:rPr>
              <w:t xml:space="preserve"> logical chain of events either planned or unplanned that link coal resource development and potential impacts on water resources and water-dependent assets” </w:t>
            </w:r>
            <w:r w:rsidRPr="006F4023">
              <w:rPr>
                <w:lang w:val="en-AU"/>
              </w:rPr>
              <w:t xml:space="preserve">(see Doody et al, 2019 and </w:t>
            </w:r>
            <w:proofErr w:type="spellStart"/>
            <w:r w:rsidRPr="006F4023">
              <w:rPr>
                <w:lang w:val="en-AU"/>
              </w:rPr>
              <w:t>Middlemis</w:t>
            </w:r>
            <w:proofErr w:type="spellEnd"/>
            <w:r w:rsidRPr="006F4023">
              <w:rPr>
                <w:lang w:val="en-AU"/>
              </w:rPr>
              <w:t xml:space="preserve"> and </w:t>
            </w:r>
            <w:proofErr w:type="spellStart"/>
            <w:r w:rsidRPr="006F4023">
              <w:rPr>
                <w:lang w:val="en-AU"/>
              </w:rPr>
              <w:t>Peeters</w:t>
            </w:r>
            <w:proofErr w:type="spellEnd"/>
            <w:r w:rsidRPr="006F4023">
              <w:rPr>
                <w:lang w:val="en-AU"/>
              </w:rPr>
              <w:t>, 2018).</w:t>
            </w:r>
          </w:p>
        </w:tc>
      </w:tr>
      <w:tr w:rsidR="00FC261A" w:rsidRPr="006F4023" w14:paraId="25148FC2" w14:textId="77777777" w:rsidTr="00E95A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AFAEDCF" w14:textId="77777777" w:rsidR="00FC261A" w:rsidRPr="006F4023" w:rsidRDefault="00FC261A" w:rsidP="00E95AD5">
            <w:pPr>
              <w:pStyle w:val="TableText"/>
              <w:rPr>
                <w:b w:val="0"/>
                <w:lang w:val="en-AU"/>
              </w:rPr>
            </w:pPr>
            <w:r w:rsidRPr="006F4023">
              <w:rPr>
                <w:lang w:val="en-AU"/>
              </w:rPr>
              <w:t>Inversion</w:t>
            </w:r>
          </w:p>
        </w:tc>
        <w:tc>
          <w:tcPr>
            <w:tcW w:w="6371" w:type="dxa"/>
          </w:tcPr>
          <w:p w14:paraId="07821963" w14:textId="77777777" w:rsidR="00FC261A" w:rsidRPr="006F4023" w:rsidRDefault="00FC261A"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sidRPr="006F4023">
              <w:rPr>
                <w:lang w:val="en-AU"/>
              </w:rPr>
              <w:t>A process whereby earth forces or tectonic forces, change, causing faults to be reactivated with a new slip/displacement vector. For example, a fault might form in an extensional setting as a normal fault, but later the forces and stresses change, and it reactivates as a reverse fault.</w:t>
            </w:r>
          </w:p>
        </w:tc>
      </w:tr>
      <w:tr w:rsidR="00FC261A" w:rsidRPr="006F4023" w14:paraId="08123412" w14:textId="77777777" w:rsidTr="00E95A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0DBC013" w14:textId="77777777" w:rsidR="00FC261A" w:rsidRPr="006F4023" w:rsidRDefault="00FC261A" w:rsidP="00E95AD5">
            <w:pPr>
              <w:pStyle w:val="TableText"/>
              <w:rPr>
                <w:b w:val="0"/>
                <w:bCs w:val="0"/>
                <w:lang w:val="en-AU"/>
              </w:rPr>
            </w:pPr>
            <w:r w:rsidRPr="006F4023">
              <w:rPr>
                <w:lang w:val="en-AU"/>
              </w:rPr>
              <w:t>Isopach, Isopach map</w:t>
            </w:r>
          </w:p>
        </w:tc>
        <w:tc>
          <w:tcPr>
            <w:tcW w:w="6371" w:type="dxa"/>
          </w:tcPr>
          <w:p w14:paraId="29644E07" w14:textId="77777777" w:rsidR="00FC261A" w:rsidRPr="006F4023" w:rsidRDefault="00FC261A" w:rsidP="00E95AD5">
            <w:pPr>
              <w:pStyle w:val="TableText"/>
              <w:cnfStyle w:val="000000010000" w:firstRow="0" w:lastRow="0" w:firstColumn="0" w:lastColumn="0" w:oddVBand="0" w:evenVBand="0" w:oddHBand="0" w:evenHBand="1" w:firstRowFirstColumn="0" w:firstRowLastColumn="0" w:lastRowFirstColumn="0" w:lastRowLastColumn="0"/>
              <w:rPr>
                <w:lang w:val="en-AU"/>
              </w:rPr>
            </w:pPr>
            <w:r w:rsidRPr="006F4023">
              <w:rPr>
                <w:lang w:val="en-AU"/>
              </w:rPr>
              <w:t>A map, showing the thickness of a stratigraphic horizon or of an aquifer or aquitard. Isopach maps are usually presented as colour coded maps or with contours that trace along paths of constant thickness. An isopach could refer to a single contour line on an isopach map.</w:t>
            </w:r>
          </w:p>
        </w:tc>
      </w:tr>
      <w:tr w:rsidR="00357B27" w:rsidRPr="006F4023" w14:paraId="24B37B1E" w14:textId="77777777" w:rsidTr="00E95A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1A1EF0F" w14:textId="522246A8" w:rsidR="00357B27" w:rsidRPr="006F4023" w:rsidRDefault="00357B27" w:rsidP="00357B27">
            <w:pPr>
              <w:pStyle w:val="TableText"/>
              <w:rPr>
                <w:lang w:val="en-AU"/>
              </w:rPr>
            </w:pPr>
            <w:r w:rsidRPr="006F4023">
              <w:rPr>
                <w:lang w:val="en-AU"/>
              </w:rPr>
              <w:t>Mechanical Stratigraphy</w:t>
            </w:r>
          </w:p>
        </w:tc>
        <w:tc>
          <w:tcPr>
            <w:tcW w:w="6371" w:type="dxa"/>
          </w:tcPr>
          <w:p w14:paraId="4C5CF1C2" w14:textId="3B7E64AF" w:rsidR="00357B27" w:rsidRPr="006F4023" w:rsidRDefault="00357B27" w:rsidP="00357B27">
            <w:pPr>
              <w:pStyle w:val="TableText"/>
              <w:cnfStyle w:val="000000100000" w:firstRow="0" w:lastRow="0" w:firstColumn="0" w:lastColumn="0" w:oddVBand="0" w:evenVBand="0" w:oddHBand="1" w:evenHBand="0" w:firstRowFirstColumn="0" w:firstRowLastColumn="0" w:lastRowFirstColumn="0" w:lastRowLastColumn="0"/>
              <w:rPr>
                <w:lang w:val="en-AU"/>
              </w:rPr>
            </w:pPr>
            <w:r w:rsidRPr="006F4023">
              <w:rPr>
                <w:lang w:val="en-AU"/>
              </w:rPr>
              <w:t xml:space="preserve">The term ‘mechanical stratigraphy’ covers the varying mechanical material properties of rock strata (properties like Young's modulus, compressive and tensile strengths), the nature and frictional properties of boundaries between mechanical layers and mechanical layer thicknesses. </w:t>
            </w:r>
          </w:p>
        </w:tc>
      </w:tr>
      <w:tr w:rsidR="00FC261A" w:rsidRPr="006F4023" w14:paraId="2C643302" w14:textId="77777777" w:rsidTr="00E95A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D643BA1" w14:textId="77777777" w:rsidR="00FC261A" w:rsidRPr="006F4023" w:rsidRDefault="00FC261A" w:rsidP="00E95AD5">
            <w:pPr>
              <w:pStyle w:val="TableText"/>
              <w:rPr>
                <w:b w:val="0"/>
                <w:lang w:val="en-AU"/>
              </w:rPr>
            </w:pPr>
            <w:r w:rsidRPr="006F4023">
              <w:rPr>
                <w:lang w:val="en-AU"/>
              </w:rPr>
              <w:t>Normal Fault</w:t>
            </w:r>
          </w:p>
        </w:tc>
        <w:tc>
          <w:tcPr>
            <w:tcW w:w="6371" w:type="dxa"/>
          </w:tcPr>
          <w:p w14:paraId="495065F5" w14:textId="16DA74B3" w:rsidR="00FC261A" w:rsidRPr="0038473D" w:rsidRDefault="00FC261A">
            <w:pPr>
              <w:pStyle w:val="TableText"/>
              <w:cnfStyle w:val="000000010000" w:firstRow="0" w:lastRow="0" w:firstColumn="0" w:lastColumn="0" w:oddVBand="0" w:evenVBand="0" w:oddHBand="0" w:evenHBand="1" w:firstRowFirstColumn="0" w:firstRowLastColumn="0" w:lastRowFirstColumn="0" w:lastRowLastColumn="0"/>
              <w:rPr>
                <w:lang w:val="en-AU"/>
              </w:rPr>
            </w:pPr>
            <w:r w:rsidRPr="006F4023">
              <w:rPr>
                <w:lang w:val="en-AU"/>
              </w:rPr>
              <w:t xml:space="preserve">A fault where the hanging wall has moved downwards over the footwall (See </w:t>
            </w:r>
            <w:r w:rsidR="00F50728" w:rsidRPr="0038473D">
              <w:rPr>
                <w:lang w:val="en-AU"/>
              </w:rPr>
              <w:fldChar w:fldCharType="begin"/>
            </w:r>
            <w:r w:rsidR="00F50728" w:rsidRPr="006F4023">
              <w:rPr>
                <w:lang w:val="en-AU"/>
              </w:rPr>
              <w:instrText xml:space="preserve"> REF _Ref19477779 \h </w:instrText>
            </w:r>
            <w:r w:rsidR="00F50728" w:rsidRPr="0038473D">
              <w:rPr>
                <w:lang w:val="en-AU"/>
              </w:rPr>
            </w:r>
            <w:r w:rsidR="00F50728" w:rsidRPr="0038473D">
              <w:rPr>
                <w:lang w:val="en-AU"/>
              </w:rPr>
              <w:fldChar w:fldCharType="separate"/>
            </w:r>
            <w:r w:rsidR="00047351" w:rsidRPr="006F4023">
              <w:t xml:space="preserve">Figure </w:t>
            </w:r>
            <w:r w:rsidR="00047351">
              <w:rPr>
                <w:noProof/>
              </w:rPr>
              <w:t>4</w:t>
            </w:r>
            <w:r w:rsidR="00F50728" w:rsidRPr="0038473D">
              <w:rPr>
                <w:lang w:val="en-AU"/>
              </w:rPr>
              <w:fldChar w:fldCharType="end"/>
            </w:r>
            <w:r w:rsidRPr="006F4023">
              <w:rPr>
                <w:lang w:val="en-AU"/>
              </w:rPr>
              <w:t>)</w:t>
            </w:r>
          </w:p>
        </w:tc>
      </w:tr>
      <w:tr w:rsidR="00FC261A" w:rsidRPr="006F4023" w14:paraId="5F953CAB" w14:textId="77777777" w:rsidTr="00E95A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B05A6C0" w14:textId="77777777" w:rsidR="00FC261A" w:rsidRPr="006F4023" w:rsidRDefault="00FC261A" w:rsidP="00E95AD5">
            <w:pPr>
              <w:pStyle w:val="TableText"/>
              <w:rPr>
                <w:b w:val="0"/>
                <w:lang w:val="en-AU"/>
              </w:rPr>
            </w:pPr>
            <w:r w:rsidRPr="006F4023">
              <w:rPr>
                <w:lang w:val="en-AU"/>
              </w:rPr>
              <w:t>Pathway</w:t>
            </w:r>
          </w:p>
        </w:tc>
        <w:tc>
          <w:tcPr>
            <w:tcW w:w="6371" w:type="dxa"/>
          </w:tcPr>
          <w:p w14:paraId="42DAD11E" w14:textId="69B66A51" w:rsidR="00FC261A" w:rsidRPr="006F4023" w:rsidRDefault="00FC261A"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sidRPr="006F4023" w:rsidDel="00446120">
              <w:rPr>
                <w:lang w:val="en-AU"/>
              </w:rPr>
              <w:t xml:space="preserve">A path in 3D </w:t>
            </w:r>
            <w:proofErr w:type="spellStart"/>
            <w:r w:rsidRPr="006F4023" w:rsidDel="00446120">
              <w:rPr>
                <w:lang w:val="en-AU"/>
              </w:rPr>
              <w:t>xyz</w:t>
            </w:r>
            <w:proofErr w:type="spellEnd"/>
            <w:r w:rsidRPr="006F4023" w:rsidDel="00446120">
              <w:rPr>
                <w:lang w:val="en-AU"/>
              </w:rPr>
              <w:t xml:space="preserve"> space which connects two points or locations, for example a trace along a fault zone between an excavation and an asset or between a </w:t>
            </w:r>
            <w:r w:rsidR="004A1045">
              <w:rPr>
                <w:lang w:val="en-AU"/>
              </w:rPr>
              <w:t xml:space="preserve">GDE </w:t>
            </w:r>
            <w:r w:rsidRPr="006F4023" w:rsidDel="00446120">
              <w:rPr>
                <w:lang w:val="en-AU"/>
              </w:rPr>
              <w:t xml:space="preserve">and a CSG development. In this Explanatory Note, the terms </w:t>
            </w:r>
            <w:r w:rsidRPr="006F4023" w:rsidDel="00446120">
              <w:rPr>
                <w:i/>
                <w:iCs/>
                <w:lang w:val="en-AU"/>
              </w:rPr>
              <w:t>pathway</w:t>
            </w:r>
            <w:r w:rsidRPr="006F4023" w:rsidDel="00446120">
              <w:rPr>
                <w:lang w:val="en-AU"/>
              </w:rPr>
              <w:t xml:space="preserve">, </w:t>
            </w:r>
            <w:r w:rsidRPr="006F4023" w:rsidDel="00446120">
              <w:rPr>
                <w:i/>
                <w:iCs/>
                <w:lang w:val="en-AU"/>
              </w:rPr>
              <w:t>flow pathway</w:t>
            </w:r>
            <w:r w:rsidRPr="006F4023" w:rsidDel="00446120">
              <w:rPr>
                <w:lang w:val="en-AU"/>
              </w:rPr>
              <w:t xml:space="preserve">, and </w:t>
            </w:r>
            <w:r w:rsidRPr="006F4023" w:rsidDel="00446120">
              <w:rPr>
                <w:i/>
                <w:iCs/>
                <w:lang w:val="en-AU"/>
              </w:rPr>
              <w:t>causal pathway</w:t>
            </w:r>
            <w:r w:rsidRPr="006F4023" w:rsidDel="00446120">
              <w:rPr>
                <w:lang w:val="en-AU"/>
              </w:rPr>
              <w:t xml:space="preserve"> are used in specific ways, and each term has specific implications. </w:t>
            </w:r>
            <w:r w:rsidRPr="006F4023" w:rsidDel="00446120">
              <w:rPr>
                <w:i/>
                <w:iCs/>
                <w:lang w:val="en-AU"/>
              </w:rPr>
              <w:t>Pathway</w:t>
            </w:r>
            <w:r w:rsidRPr="006F4023" w:rsidDel="00446120">
              <w:rPr>
                <w:i/>
                <w:lang w:val="en-AU"/>
              </w:rPr>
              <w:t xml:space="preserve"> </w:t>
            </w:r>
            <w:r w:rsidRPr="006F4023" w:rsidDel="00446120">
              <w:rPr>
                <w:lang w:val="en-AU"/>
              </w:rPr>
              <w:t xml:space="preserve">alone is used to denote a possible or potential pathway (along a linear or 3D path) from one location to another (for example between a groundwater asset and a coal seam or between a rainwater source region and an aquifer). </w:t>
            </w:r>
            <w:r w:rsidRPr="006F4023" w:rsidDel="00446120">
              <w:rPr>
                <w:i/>
                <w:iCs/>
                <w:lang w:val="en-AU"/>
              </w:rPr>
              <w:t>Flow pathway</w:t>
            </w:r>
            <w:r w:rsidRPr="006F4023" w:rsidDel="00446120">
              <w:rPr>
                <w:lang w:val="en-AU"/>
              </w:rPr>
              <w:t xml:space="preserve"> is used to denote a pathway in 3D which has been assessed as likely to allow water flow at a rate or magnitude that is significant in the overall hydrogeological system. </w:t>
            </w:r>
            <w:r w:rsidRPr="006F4023" w:rsidDel="00446120">
              <w:rPr>
                <w:caps/>
                <w:lang w:val="en-AU"/>
              </w:rPr>
              <w:t>A</w:t>
            </w:r>
            <w:r w:rsidRPr="006F4023" w:rsidDel="00446120">
              <w:rPr>
                <w:i/>
                <w:iCs/>
                <w:lang w:val="en-AU"/>
              </w:rPr>
              <w:t xml:space="preserve"> causal pathway</w:t>
            </w:r>
            <w:r w:rsidRPr="006F4023" w:rsidDel="00446120">
              <w:rPr>
                <w:lang w:val="en-AU"/>
              </w:rPr>
              <w:t xml:space="preserve"> is defined in other </w:t>
            </w:r>
            <w:r w:rsidRPr="006F4023" w:rsidDel="00446120">
              <w:rPr>
                <w:lang w:val="en-AU"/>
              </w:rPr>
              <w:lastRenderedPageBreak/>
              <w:t>Explanatory Notes as “a</w:t>
            </w:r>
            <w:r w:rsidRPr="006F4023" w:rsidDel="00446120">
              <w:rPr>
                <w:rFonts w:cs="Adobe Garamond Pro"/>
                <w:lang w:val="en-AU"/>
              </w:rPr>
              <w:t xml:space="preserve"> logical chain of events either planned or unplanned that link coal resource development and potential impacts on water resources and water-dependent assets” </w:t>
            </w:r>
            <w:r w:rsidRPr="006F4023" w:rsidDel="00446120">
              <w:rPr>
                <w:lang w:val="en-AU"/>
              </w:rPr>
              <w:t xml:space="preserve">(see Doody et al, 2019 and </w:t>
            </w:r>
            <w:proofErr w:type="spellStart"/>
            <w:r w:rsidRPr="006F4023" w:rsidDel="00446120">
              <w:rPr>
                <w:lang w:val="en-AU"/>
              </w:rPr>
              <w:t>Middlemis</w:t>
            </w:r>
            <w:proofErr w:type="spellEnd"/>
            <w:r w:rsidRPr="006F4023" w:rsidDel="00446120">
              <w:rPr>
                <w:lang w:val="en-AU"/>
              </w:rPr>
              <w:t xml:space="preserve"> and </w:t>
            </w:r>
            <w:proofErr w:type="spellStart"/>
            <w:r w:rsidRPr="006F4023" w:rsidDel="00446120">
              <w:rPr>
                <w:lang w:val="en-AU"/>
              </w:rPr>
              <w:t>Peeters</w:t>
            </w:r>
            <w:proofErr w:type="spellEnd"/>
            <w:r w:rsidRPr="006F4023" w:rsidDel="00446120">
              <w:rPr>
                <w:lang w:val="en-AU"/>
              </w:rPr>
              <w:t>, 2018).</w:t>
            </w:r>
          </w:p>
        </w:tc>
      </w:tr>
      <w:tr w:rsidR="00FC261A" w:rsidRPr="006F4023" w14:paraId="1A4857C2" w14:textId="77777777" w:rsidTr="00E95A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B4564FA" w14:textId="77777777" w:rsidR="00FC261A" w:rsidRPr="006F4023" w:rsidRDefault="00FC261A" w:rsidP="00E95AD5">
            <w:pPr>
              <w:pStyle w:val="TableText"/>
              <w:rPr>
                <w:b w:val="0"/>
                <w:lang w:val="en-AU"/>
              </w:rPr>
            </w:pPr>
            <w:r w:rsidRPr="006F4023">
              <w:rPr>
                <w:lang w:val="en-AU"/>
              </w:rPr>
              <w:lastRenderedPageBreak/>
              <w:t>Principal Slip Surface or Fault Principal Slip Surface</w:t>
            </w:r>
          </w:p>
        </w:tc>
        <w:tc>
          <w:tcPr>
            <w:tcW w:w="6371" w:type="dxa"/>
          </w:tcPr>
          <w:p w14:paraId="303FCA80" w14:textId="77777777" w:rsidR="00FC261A" w:rsidRPr="006F4023" w:rsidRDefault="00FC261A" w:rsidP="00E95AD5">
            <w:pPr>
              <w:pStyle w:val="TableText"/>
              <w:cnfStyle w:val="000000010000" w:firstRow="0" w:lastRow="0" w:firstColumn="0" w:lastColumn="0" w:oddVBand="0" w:evenVBand="0" w:oddHBand="0" w:evenHBand="1" w:firstRowFirstColumn="0" w:firstRowLastColumn="0" w:lastRowFirstColumn="0" w:lastRowLastColumn="0"/>
              <w:rPr>
                <w:lang w:val="en-AU"/>
              </w:rPr>
            </w:pPr>
            <w:r w:rsidRPr="006F4023">
              <w:rPr>
                <w:lang w:val="en-AU"/>
              </w:rPr>
              <w:t>Frictional sliding surface in a fault zone.</w:t>
            </w:r>
          </w:p>
        </w:tc>
      </w:tr>
      <w:tr w:rsidR="00FC261A" w:rsidRPr="006F4023" w14:paraId="74729503" w14:textId="77777777" w:rsidTr="00E95A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45B7D59" w14:textId="77777777" w:rsidR="00FC261A" w:rsidRPr="006F4023" w:rsidRDefault="00FC261A" w:rsidP="00E95AD5">
            <w:pPr>
              <w:pStyle w:val="TableText"/>
              <w:rPr>
                <w:b w:val="0"/>
                <w:lang w:val="en-AU"/>
              </w:rPr>
            </w:pPr>
            <w:r w:rsidRPr="006F4023">
              <w:rPr>
                <w:lang w:val="en-AU"/>
              </w:rPr>
              <w:t>Reverse Fault</w:t>
            </w:r>
          </w:p>
        </w:tc>
        <w:tc>
          <w:tcPr>
            <w:tcW w:w="6371" w:type="dxa"/>
          </w:tcPr>
          <w:p w14:paraId="24E4B14D" w14:textId="536A381E" w:rsidR="00FC261A" w:rsidRPr="0038473D" w:rsidRDefault="00FC261A">
            <w:pPr>
              <w:pStyle w:val="TableText"/>
              <w:cnfStyle w:val="000000100000" w:firstRow="0" w:lastRow="0" w:firstColumn="0" w:lastColumn="0" w:oddVBand="0" w:evenVBand="0" w:oddHBand="1" w:evenHBand="0" w:firstRowFirstColumn="0" w:firstRowLastColumn="0" w:lastRowFirstColumn="0" w:lastRowLastColumn="0"/>
              <w:rPr>
                <w:lang w:val="en-AU"/>
              </w:rPr>
            </w:pPr>
            <w:r w:rsidRPr="006F4023">
              <w:rPr>
                <w:lang w:val="en-AU"/>
              </w:rPr>
              <w:t xml:space="preserve">A fault where the hanging wall has moved upwards over the footwall (See </w:t>
            </w:r>
            <w:r w:rsidR="00F50728" w:rsidRPr="0038473D">
              <w:rPr>
                <w:lang w:val="en-AU"/>
              </w:rPr>
              <w:fldChar w:fldCharType="begin"/>
            </w:r>
            <w:r w:rsidR="00F50728" w:rsidRPr="006F4023">
              <w:rPr>
                <w:lang w:val="en-AU"/>
              </w:rPr>
              <w:instrText xml:space="preserve"> REF _Ref19477779 \h </w:instrText>
            </w:r>
            <w:r w:rsidR="00F50728" w:rsidRPr="0038473D">
              <w:rPr>
                <w:lang w:val="en-AU"/>
              </w:rPr>
            </w:r>
            <w:r w:rsidR="00F50728" w:rsidRPr="0038473D">
              <w:rPr>
                <w:lang w:val="en-AU"/>
              </w:rPr>
              <w:fldChar w:fldCharType="separate"/>
            </w:r>
            <w:r w:rsidR="00047351" w:rsidRPr="006F4023">
              <w:t xml:space="preserve">Figure </w:t>
            </w:r>
            <w:r w:rsidR="00047351">
              <w:rPr>
                <w:noProof/>
              </w:rPr>
              <w:t>4</w:t>
            </w:r>
            <w:r w:rsidR="00F50728" w:rsidRPr="0038473D">
              <w:rPr>
                <w:lang w:val="en-AU"/>
              </w:rPr>
              <w:fldChar w:fldCharType="end"/>
            </w:r>
            <w:r w:rsidRPr="006F4023">
              <w:rPr>
                <w:lang w:val="en-AU"/>
              </w:rPr>
              <w:t>)</w:t>
            </w:r>
          </w:p>
        </w:tc>
      </w:tr>
      <w:tr w:rsidR="00FC261A" w:rsidRPr="006F4023" w14:paraId="6A67D461" w14:textId="77777777" w:rsidTr="00E95A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ACB7D36" w14:textId="77777777" w:rsidR="00FC261A" w:rsidRPr="006F4023" w:rsidRDefault="00FC261A" w:rsidP="00E95AD5">
            <w:pPr>
              <w:pStyle w:val="TableText"/>
              <w:rPr>
                <w:b w:val="0"/>
                <w:bCs w:val="0"/>
                <w:lang w:val="en-AU"/>
              </w:rPr>
            </w:pPr>
            <w:r w:rsidRPr="006F4023">
              <w:rPr>
                <w:lang w:val="en-AU"/>
              </w:rPr>
              <w:t>Strata</w:t>
            </w:r>
          </w:p>
        </w:tc>
        <w:tc>
          <w:tcPr>
            <w:tcW w:w="6371" w:type="dxa"/>
          </w:tcPr>
          <w:p w14:paraId="1B8F7AD4" w14:textId="77777777" w:rsidR="00FC261A" w:rsidRPr="006F4023" w:rsidRDefault="00FC261A" w:rsidP="00E95AD5">
            <w:pPr>
              <w:pStyle w:val="TableText"/>
              <w:cnfStyle w:val="000000010000" w:firstRow="0" w:lastRow="0" w:firstColumn="0" w:lastColumn="0" w:oddVBand="0" w:evenVBand="0" w:oddHBand="0" w:evenHBand="1" w:firstRowFirstColumn="0" w:firstRowLastColumn="0" w:lastRowFirstColumn="0" w:lastRowLastColumn="0"/>
              <w:rPr>
                <w:lang w:val="en-AU"/>
              </w:rPr>
            </w:pPr>
            <w:r w:rsidRPr="006F4023">
              <w:rPr>
                <w:lang w:val="en-AU"/>
              </w:rPr>
              <w:t>Layers of sedimentary rock or soil, or igneous rock that were formed at the Earth's surface with internally consistent characteristics that can distinguish them from other layers. An individual layer can be referred to as a “stratum", and this is the fundamental unit in a stratigraphic column and forms the basis of the study of stratigraphy.</w:t>
            </w:r>
          </w:p>
        </w:tc>
      </w:tr>
      <w:tr w:rsidR="00FC261A" w:rsidRPr="006F4023" w14:paraId="0199FAD5" w14:textId="77777777" w:rsidTr="00E95A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C4B8460" w14:textId="77777777" w:rsidR="00FC261A" w:rsidRPr="006F4023" w:rsidRDefault="00FC261A" w:rsidP="00E95AD5">
            <w:pPr>
              <w:pStyle w:val="TableText"/>
              <w:rPr>
                <w:b w:val="0"/>
                <w:bCs w:val="0"/>
                <w:lang w:val="en-AU"/>
              </w:rPr>
            </w:pPr>
            <w:r w:rsidRPr="006F4023">
              <w:rPr>
                <w:lang w:val="en-AU"/>
              </w:rPr>
              <w:t>Stratigraphy</w:t>
            </w:r>
          </w:p>
        </w:tc>
        <w:tc>
          <w:tcPr>
            <w:tcW w:w="6371" w:type="dxa"/>
          </w:tcPr>
          <w:p w14:paraId="6822295E" w14:textId="77777777" w:rsidR="00FC261A" w:rsidRPr="006F4023" w:rsidRDefault="00FC261A"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sidRPr="006F4023">
              <w:rPr>
                <w:lang w:val="en-AU"/>
              </w:rPr>
              <w:t xml:space="preserve">The study of rock layers (strata) and layering (stratification). It is primarily used in the study of sedimentary and layered volcanic rocks. </w:t>
            </w:r>
          </w:p>
        </w:tc>
      </w:tr>
      <w:tr w:rsidR="00FC261A" w:rsidRPr="006F4023" w14:paraId="76A54E70" w14:textId="77777777" w:rsidTr="00E95A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B385E47" w14:textId="77777777" w:rsidR="00FC261A" w:rsidRPr="006F4023" w:rsidRDefault="00FC261A" w:rsidP="00E95AD5">
            <w:pPr>
              <w:pStyle w:val="TableText"/>
              <w:rPr>
                <w:b w:val="0"/>
                <w:bCs w:val="0"/>
                <w:lang w:val="en-AU"/>
              </w:rPr>
            </w:pPr>
            <w:r w:rsidRPr="006F4023">
              <w:rPr>
                <w:lang w:val="en-AU"/>
              </w:rPr>
              <w:t>Sequence Stratigraphy</w:t>
            </w:r>
          </w:p>
        </w:tc>
        <w:tc>
          <w:tcPr>
            <w:tcW w:w="6371" w:type="dxa"/>
          </w:tcPr>
          <w:p w14:paraId="0C85734F" w14:textId="77777777" w:rsidR="00FC261A" w:rsidRPr="006F4023" w:rsidRDefault="00FC261A" w:rsidP="00E95AD5">
            <w:pPr>
              <w:pStyle w:val="TableText"/>
              <w:cnfStyle w:val="000000010000" w:firstRow="0" w:lastRow="0" w:firstColumn="0" w:lastColumn="0" w:oddVBand="0" w:evenVBand="0" w:oddHBand="0" w:evenHBand="1" w:firstRowFirstColumn="0" w:firstRowLastColumn="0" w:lastRowFirstColumn="0" w:lastRowLastColumn="0"/>
              <w:rPr>
                <w:lang w:val="en-AU"/>
              </w:rPr>
            </w:pPr>
            <w:r w:rsidRPr="006F4023">
              <w:rPr>
                <w:lang w:val="en-AU"/>
              </w:rPr>
              <w:t xml:space="preserve">Sequence stratigraphy is a branch of geology that attempts to subdivide and link sedimentary deposits into unconformity bound units on a variety of scales and explain these stratigraphic units in terms of variations in sediment supply and variations in the rate of change in accommodation space (relative sea level, the combination of eustatic sea level and tectonic subsidence). The essence of the method is mapping of strata based on identification of surfaces which are assumed to represent </w:t>
            </w:r>
            <w:proofErr w:type="gramStart"/>
            <w:r w:rsidRPr="006F4023">
              <w:rPr>
                <w:lang w:val="en-AU"/>
              </w:rPr>
              <w:t>time lines</w:t>
            </w:r>
            <w:proofErr w:type="gramEnd"/>
            <w:r w:rsidRPr="006F4023">
              <w:rPr>
                <w:lang w:val="en-AU"/>
              </w:rPr>
              <w:t xml:space="preserve"> (e.g. subaerial unconformities, maximum flooding surfaces), and therefore placing stratigraphy in chronostratigraphic framework. Sequence stratigraphy is a useful alternative to a lithostratigraphic approach, which emphasizes similarity of the lithology of rock units rather than time significance.</w:t>
            </w:r>
          </w:p>
        </w:tc>
      </w:tr>
      <w:tr w:rsidR="00FC261A" w:rsidRPr="006F4023" w14:paraId="1A89FA04" w14:textId="77777777" w:rsidTr="00E95A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EBF11BE" w14:textId="77777777" w:rsidR="00FC261A" w:rsidRPr="006F4023" w:rsidRDefault="00FC261A" w:rsidP="00E95AD5">
            <w:pPr>
              <w:pStyle w:val="TableText"/>
              <w:rPr>
                <w:b w:val="0"/>
                <w:lang w:val="en-AU"/>
              </w:rPr>
            </w:pPr>
            <w:r w:rsidRPr="006F4023">
              <w:rPr>
                <w:lang w:val="en-AU"/>
              </w:rPr>
              <w:t>Sequence Boundary</w:t>
            </w:r>
          </w:p>
        </w:tc>
        <w:tc>
          <w:tcPr>
            <w:tcW w:w="6371" w:type="dxa"/>
          </w:tcPr>
          <w:p w14:paraId="4318693C" w14:textId="77777777" w:rsidR="00FC261A" w:rsidRPr="006F4023" w:rsidRDefault="00FC261A"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sidRPr="006F4023">
              <w:rPr>
                <w:lang w:val="en-AU"/>
              </w:rPr>
              <w:t>Sequence boundaries are the most significant surfaces in sequence stratigraphy. They are defined as unconformities or their correlative conformities. Sequence boundaries are formed due to the sea level fall.</w:t>
            </w:r>
          </w:p>
        </w:tc>
      </w:tr>
      <w:tr w:rsidR="00B31559" w:rsidRPr="006F4023" w14:paraId="13288BB1" w14:textId="77777777" w:rsidTr="00E95A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A492F6A" w14:textId="77777777" w:rsidR="00B31559" w:rsidRPr="006F4023" w:rsidRDefault="00B31559" w:rsidP="00E95AD5">
            <w:pPr>
              <w:pStyle w:val="TableText"/>
              <w:rPr>
                <w:b w:val="0"/>
                <w:lang w:val="en-AU"/>
              </w:rPr>
            </w:pPr>
            <w:r w:rsidRPr="006F4023">
              <w:rPr>
                <w:lang w:val="en-AU"/>
              </w:rPr>
              <w:t>Stope</w:t>
            </w:r>
          </w:p>
        </w:tc>
        <w:tc>
          <w:tcPr>
            <w:tcW w:w="6371" w:type="dxa"/>
          </w:tcPr>
          <w:p w14:paraId="24ACC5AF" w14:textId="77777777" w:rsidR="00B31559" w:rsidRPr="006F4023" w:rsidRDefault="00B31559" w:rsidP="00E95AD5">
            <w:pPr>
              <w:pStyle w:val="TableText"/>
              <w:cnfStyle w:val="000000010000" w:firstRow="0" w:lastRow="0" w:firstColumn="0" w:lastColumn="0" w:oddVBand="0" w:evenVBand="0" w:oddHBand="0" w:evenHBand="1" w:firstRowFirstColumn="0" w:firstRowLastColumn="0" w:lastRowFirstColumn="0" w:lastRowLastColumn="0"/>
              <w:rPr>
                <w:lang w:val="en-AU"/>
              </w:rPr>
            </w:pPr>
            <w:r w:rsidRPr="006F4023">
              <w:rPr>
                <w:lang w:val="en-AU"/>
              </w:rPr>
              <w:t>Open space left behind from underground mining.</w:t>
            </w:r>
          </w:p>
        </w:tc>
      </w:tr>
      <w:tr w:rsidR="00FC261A" w:rsidRPr="006F4023" w14:paraId="3169DEC2" w14:textId="77777777" w:rsidTr="00E95A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583B2DC" w14:textId="77777777" w:rsidR="00FC261A" w:rsidRPr="006F4023" w:rsidRDefault="00FC261A" w:rsidP="00E95AD5">
            <w:pPr>
              <w:pStyle w:val="TableText"/>
              <w:rPr>
                <w:b w:val="0"/>
                <w:lang w:val="en-AU"/>
              </w:rPr>
            </w:pPr>
            <w:r w:rsidRPr="006F4023">
              <w:rPr>
                <w:lang w:val="en-AU"/>
              </w:rPr>
              <w:t>Strike</w:t>
            </w:r>
          </w:p>
        </w:tc>
        <w:tc>
          <w:tcPr>
            <w:tcW w:w="6371" w:type="dxa"/>
          </w:tcPr>
          <w:p w14:paraId="7871662E" w14:textId="77777777" w:rsidR="00FC261A" w:rsidRPr="006F4023" w:rsidRDefault="00FC261A"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sidRPr="006F4023">
              <w:rPr>
                <w:lang w:val="en-AU"/>
              </w:rPr>
              <w:t xml:space="preserve">For an inclined plane, the strike measures the compass direction of a horizontal line in that plane, relative to north. If the horizontal line trends exactly </w:t>
            </w:r>
            <w:proofErr w:type="gramStart"/>
            <w:r w:rsidRPr="006F4023">
              <w:rPr>
                <w:lang w:val="en-AU"/>
              </w:rPr>
              <w:t>north-south</w:t>
            </w:r>
            <w:proofErr w:type="gramEnd"/>
            <w:r w:rsidRPr="006F4023">
              <w:rPr>
                <w:lang w:val="en-AU"/>
              </w:rPr>
              <w:t xml:space="preserve">, then the strike is 0 degrees, if it trends east west, the strike is 90 degrees. </w:t>
            </w:r>
          </w:p>
        </w:tc>
      </w:tr>
      <w:tr w:rsidR="00FC261A" w:rsidRPr="006F4023" w14:paraId="27405769" w14:textId="77777777" w:rsidTr="00E95A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5938F9E" w14:textId="77777777" w:rsidR="00FC261A" w:rsidRPr="006F4023" w:rsidRDefault="00FC261A" w:rsidP="00E95AD5">
            <w:pPr>
              <w:pStyle w:val="TableText"/>
              <w:rPr>
                <w:lang w:val="en-AU"/>
              </w:rPr>
            </w:pPr>
            <w:r w:rsidRPr="006F4023">
              <w:rPr>
                <w:lang w:val="en-AU"/>
              </w:rPr>
              <w:t>Strike-Slip Fault</w:t>
            </w:r>
          </w:p>
        </w:tc>
        <w:tc>
          <w:tcPr>
            <w:tcW w:w="6371" w:type="dxa"/>
          </w:tcPr>
          <w:p w14:paraId="48F983C1" w14:textId="77777777" w:rsidR="00FC261A" w:rsidRPr="006F4023" w:rsidRDefault="00FC261A" w:rsidP="00E95AD5">
            <w:pPr>
              <w:pStyle w:val="TableText"/>
              <w:cnfStyle w:val="000000010000" w:firstRow="0" w:lastRow="0" w:firstColumn="0" w:lastColumn="0" w:oddVBand="0" w:evenVBand="0" w:oddHBand="0" w:evenHBand="1" w:firstRowFirstColumn="0" w:firstRowLastColumn="0" w:lastRowFirstColumn="0" w:lastRowLastColumn="0"/>
              <w:rPr>
                <w:lang w:val="en-AU"/>
              </w:rPr>
            </w:pPr>
            <w:r w:rsidRPr="006F4023">
              <w:rPr>
                <w:lang w:val="en-AU"/>
              </w:rPr>
              <w:t>A fault where the dominant slip or displacement direction is horizontal.</w:t>
            </w:r>
          </w:p>
        </w:tc>
      </w:tr>
      <w:tr w:rsidR="00FC261A" w:rsidRPr="006F4023" w14:paraId="7C1A7D5C" w14:textId="77777777" w:rsidTr="00E95A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A6617E1" w14:textId="77777777" w:rsidR="00FC261A" w:rsidRPr="006F4023" w:rsidRDefault="00FC261A" w:rsidP="00E95AD5">
            <w:pPr>
              <w:pStyle w:val="TableText"/>
              <w:rPr>
                <w:b w:val="0"/>
                <w:lang w:val="en-AU"/>
              </w:rPr>
            </w:pPr>
            <w:r w:rsidRPr="006F4023">
              <w:rPr>
                <w:lang w:val="en-AU"/>
              </w:rPr>
              <w:t>Superposition</w:t>
            </w:r>
          </w:p>
        </w:tc>
        <w:tc>
          <w:tcPr>
            <w:tcW w:w="6371" w:type="dxa"/>
          </w:tcPr>
          <w:p w14:paraId="69AF108A" w14:textId="77777777" w:rsidR="00FC261A" w:rsidRPr="006F4023" w:rsidRDefault="00FC261A" w:rsidP="00E95AD5">
            <w:pPr>
              <w:pStyle w:val="TableText"/>
              <w:cnfStyle w:val="000000100000" w:firstRow="0" w:lastRow="0" w:firstColumn="0" w:lastColumn="0" w:oddVBand="0" w:evenVBand="0" w:oddHBand="1" w:evenHBand="0" w:firstRowFirstColumn="0" w:firstRowLastColumn="0" w:lastRowFirstColumn="0" w:lastRowLastColumn="0"/>
              <w:rPr>
                <w:lang w:val="en-AU"/>
              </w:rPr>
            </w:pPr>
            <w:r w:rsidRPr="006F4023">
              <w:rPr>
                <w:lang w:val="en-AU"/>
              </w:rPr>
              <w:t xml:space="preserve">The law of superposition is an axiom that forms one of the bases of geological stratigraphy. It is a form of relative dating. It states that in undeformed stratigraphic sequences, the oldest strata will be at the bottom of the sequence. </w:t>
            </w:r>
          </w:p>
        </w:tc>
      </w:tr>
    </w:tbl>
    <w:p w14:paraId="1F481C99" w14:textId="77777777" w:rsidR="00FC261A" w:rsidRPr="006F4023" w:rsidRDefault="00FC261A" w:rsidP="00FC261A">
      <w:pPr>
        <w:rPr>
          <w:szCs w:val="20"/>
        </w:rPr>
      </w:pPr>
    </w:p>
    <w:p w14:paraId="2C7DDBE5" w14:textId="77777777" w:rsidR="00FC261A" w:rsidRPr="006F4023" w:rsidRDefault="00FC261A" w:rsidP="00FC261A">
      <w:pPr>
        <w:rPr>
          <w:rFonts w:eastAsiaTheme="majorEastAsia" w:cstheme="majorBidi"/>
          <w:color w:val="2F5496" w:themeColor="accent1" w:themeShade="BF"/>
          <w:sz w:val="52"/>
          <w:szCs w:val="32"/>
        </w:rPr>
      </w:pPr>
      <w:r w:rsidRPr="006F4023">
        <w:br w:type="page"/>
      </w:r>
    </w:p>
    <w:p w14:paraId="7369B083" w14:textId="77777777" w:rsidR="00FC261A" w:rsidRPr="006F4023" w:rsidRDefault="00FC261A" w:rsidP="00FC261A">
      <w:pPr>
        <w:pStyle w:val="Heading1"/>
      </w:pPr>
      <w:bookmarkStart w:id="433" w:name="_Toc19180713"/>
      <w:bookmarkStart w:id="434" w:name="_Toc42765151"/>
      <w:bookmarkStart w:id="435" w:name="_Toc66967216"/>
      <w:r w:rsidRPr="006F4023">
        <w:lastRenderedPageBreak/>
        <w:t>References</w:t>
      </w:r>
      <w:bookmarkEnd w:id="433"/>
      <w:bookmarkEnd w:id="434"/>
      <w:bookmarkEnd w:id="435"/>
    </w:p>
    <w:p w14:paraId="7813B111" w14:textId="32BDBB5E" w:rsidR="006122E5" w:rsidRDefault="006122E5" w:rsidP="00FC261A">
      <w:pPr>
        <w:pStyle w:val="References"/>
      </w:pPr>
      <w:proofErr w:type="spellStart"/>
      <w:r w:rsidRPr="006122E5">
        <w:t>Adhikary</w:t>
      </w:r>
      <w:proofErr w:type="spellEnd"/>
      <w:r w:rsidRPr="006122E5">
        <w:t xml:space="preserve"> DP, Poulsen BA, </w:t>
      </w:r>
      <w:proofErr w:type="spellStart"/>
      <w:r w:rsidRPr="006122E5">
        <w:t>Khanal</w:t>
      </w:r>
      <w:proofErr w:type="spellEnd"/>
      <w:r w:rsidRPr="006122E5">
        <w:t xml:space="preserve"> M. (2017) Assessment of Longwall Mining Induced Connective Fracturing of Overburden Strata. ACARP Report C24020, CSIRO, Australia.</w:t>
      </w:r>
    </w:p>
    <w:p w14:paraId="38A58701" w14:textId="6AD7E907" w:rsidR="00FC261A" w:rsidRPr="006F4023" w:rsidRDefault="00FC261A" w:rsidP="00FC261A">
      <w:pPr>
        <w:pStyle w:val="References"/>
      </w:pPr>
      <w:r w:rsidRPr="006F4023">
        <w:t>Allan US 1989. Model for hydrocarbon migration and entrapment within faulted structures.</w:t>
      </w:r>
      <w:r w:rsidRPr="006F4023">
        <w:rPr>
          <w:i/>
        </w:rPr>
        <w:t xml:space="preserve"> </w:t>
      </w:r>
      <w:r w:rsidRPr="006F4023">
        <w:rPr>
          <w:i/>
          <w:iCs/>
        </w:rPr>
        <w:t>American Association of Petroleum Geologists Bulletin</w:t>
      </w:r>
      <w:r w:rsidRPr="006F4023">
        <w:t>, 73: 803-811.</w:t>
      </w:r>
    </w:p>
    <w:p w14:paraId="4138FD1E" w14:textId="1C6C686E" w:rsidR="00FC261A" w:rsidRDefault="00FC261A" w:rsidP="00FC261A">
      <w:pPr>
        <w:pStyle w:val="References"/>
      </w:pPr>
      <w:r w:rsidRPr="006F4023">
        <w:t xml:space="preserve">Bailey WR, Walsh </w:t>
      </w:r>
      <w:proofErr w:type="gramStart"/>
      <w:r w:rsidRPr="006F4023">
        <w:t>JJ</w:t>
      </w:r>
      <w:proofErr w:type="gramEnd"/>
      <w:r w:rsidRPr="006F4023">
        <w:t xml:space="preserve"> and </w:t>
      </w:r>
      <w:proofErr w:type="spellStart"/>
      <w:r w:rsidRPr="006F4023">
        <w:t>Manzocchi</w:t>
      </w:r>
      <w:proofErr w:type="spellEnd"/>
      <w:r w:rsidRPr="006F4023">
        <w:t xml:space="preserve"> T 2005. Fault populations, strain distribution and basement fault reactivation in the East Pennines Coalfield, UK</w:t>
      </w:r>
      <w:r w:rsidRPr="006F4023">
        <w:rPr>
          <w:i/>
        </w:rPr>
        <w:t xml:space="preserve">. Journal of </w:t>
      </w:r>
      <w:r w:rsidRPr="006F4023">
        <w:rPr>
          <w:i/>
          <w:iCs/>
        </w:rPr>
        <w:t>Structural</w:t>
      </w:r>
      <w:r w:rsidRPr="006F4023">
        <w:rPr>
          <w:i/>
        </w:rPr>
        <w:t xml:space="preserve"> Geology</w:t>
      </w:r>
      <w:r w:rsidRPr="006F4023">
        <w:t xml:space="preserve">, 27: 913-928. </w:t>
      </w:r>
    </w:p>
    <w:p w14:paraId="05EF109E" w14:textId="36883196" w:rsidR="008F3D9F" w:rsidRPr="006F4023" w:rsidRDefault="008F3D9F" w:rsidP="00FC261A">
      <w:pPr>
        <w:pStyle w:val="References"/>
      </w:pPr>
      <w:r w:rsidRPr="008F3D9F">
        <w:t xml:space="preserve">Barnett et al, 2012, Australian groundwater modelling guidelines, </w:t>
      </w:r>
      <w:proofErr w:type="gramStart"/>
      <w:r w:rsidRPr="008F3D9F">
        <w:t>Waterlines</w:t>
      </w:r>
      <w:proofErr w:type="gramEnd"/>
      <w:r w:rsidRPr="008F3D9F">
        <w:t xml:space="preserve"> report, National Water Commission, Canberra</w:t>
      </w:r>
    </w:p>
    <w:p w14:paraId="425333E0" w14:textId="77777777" w:rsidR="00FC261A" w:rsidRPr="006F4023" w:rsidRDefault="00FC261A" w:rsidP="00FC261A">
      <w:pPr>
        <w:pStyle w:val="References"/>
      </w:pPr>
      <w:r w:rsidRPr="006F4023">
        <w:t xml:space="preserve">Barnett J, Mortimer J, Rippon J, Walsh </w:t>
      </w:r>
      <w:proofErr w:type="gramStart"/>
      <w:r w:rsidRPr="006F4023">
        <w:t>JJ</w:t>
      </w:r>
      <w:proofErr w:type="gramEnd"/>
      <w:r w:rsidRPr="006F4023">
        <w:t xml:space="preserve"> and Watterson J 1987. Displacement Geometry in the Volume Containing a Single Normal Fault. </w:t>
      </w:r>
      <w:r w:rsidRPr="006F4023">
        <w:rPr>
          <w:i/>
        </w:rPr>
        <w:t>American Association of Petroleum Geologists Bulletin</w:t>
      </w:r>
      <w:r w:rsidRPr="006F4023">
        <w:t xml:space="preserve">, 71: 925-937. </w:t>
      </w:r>
    </w:p>
    <w:p w14:paraId="0CF9F943" w14:textId="77777777" w:rsidR="00FC261A" w:rsidRPr="006F4023" w:rsidRDefault="00FC261A" w:rsidP="00FC261A">
      <w:pPr>
        <w:pStyle w:val="References"/>
      </w:pPr>
      <w:proofErr w:type="spellStart"/>
      <w:r w:rsidRPr="006F4023">
        <w:t>Batlle</w:t>
      </w:r>
      <w:proofErr w:type="spellEnd"/>
      <w:r w:rsidRPr="006F4023">
        <w:t xml:space="preserve">-Aguilar J, Banks EW, </w:t>
      </w:r>
      <w:proofErr w:type="spellStart"/>
      <w:r w:rsidRPr="006F4023">
        <w:t>Batelaan</w:t>
      </w:r>
      <w:proofErr w:type="spellEnd"/>
      <w:r w:rsidRPr="006F4023">
        <w:t xml:space="preserve"> O, </w:t>
      </w:r>
      <w:proofErr w:type="spellStart"/>
      <w:r w:rsidRPr="006F4023">
        <w:t>Kipfer</w:t>
      </w:r>
      <w:proofErr w:type="spellEnd"/>
      <w:r w:rsidRPr="006F4023">
        <w:t xml:space="preserve"> R, </w:t>
      </w:r>
      <w:proofErr w:type="spellStart"/>
      <w:r w:rsidRPr="006F4023">
        <w:t>Brennwald</w:t>
      </w:r>
      <w:proofErr w:type="spellEnd"/>
      <w:r w:rsidRPr="006F4023">
        <w:t xml:space="preserve"> MS and Cook PG 2017. Groundwater residence time and aquifer recharge in multilayered, </w:t>
      </w:r>
      <w:proofErr w:type="gramStart"/>
      <w:r w:rsidRPr="006F4023">
        <w:t>semi-confined</w:t>
      </w:r>
      <w:proofErr w:type="gramEnd"/>
      <w:r w:rsidRPr="006F4023">
        <w:t xml:space="preserve"> and faulted aquifer systems using environmental tracers. </w:t>
      </w:r>
      <w:r w:rsidRPr="006F4023">
        <w:rPr>
          <w:i/>
        </w:rPr>
        <w:t>Hydrology</w:t>
      </w:r>
      <w:r w:rsidRPr="006F4023">
        <w:t>, 546:150-165.</w:t>
      </w:r>
    </w:p>
    <w:p w14:paraId="6CDC2D7E" w14:textId="77777777" w:rsidR="00FC261A" w:rsidRPr="006F4023" w:rsidRDefault="00FC261A" w:rsidP="00FC261A">
      <w:pPr>
        <w:pStyle w:val="References"/>
      </w:pPr>
      <w:proofErr w:type="spellStart"/>
      <w:r w:rsidRPr="006F4023">
        <w:t>Bense</w:t>
      </w:r>
      <w:proofErr w:type="spellEnd"/>
      <w:r w:rsidRPr="006F4023">
        <w:t xml:space="preserve"> VF, Person MA, Chaudhary K, You Y, Cremer N Simon S 2008. Thermal anomalies indicate preferential flow along faults in consolidated sedimentary aquifers. </w:t>
      </w:r>
      <w:r w:rsidRPr="006F4023">
        <w:rPr>
          <w:i/>
        </w:rPr>
        <w:t>Geophysical Research Letters</w:t>
      </w:r>
      <w:r w:rsidRPr="006F4023">
        <w:t>, 35: L24406. doi.org/10.1029/2008GL036017.</w:t>
      </w:r>
    </w:p>
    <w:p w14:paraId="55CA36C7" w14:textId="77777777" w:rsidR="00FC261A" w:rsidRPr="006F4023" w:rsidRDefault="00FC261A" w:rsidP="00FC261A">
      <w:pPr>
        <w:pStyle w:val="References"/>
      </w:pPr>
      <w:proofErr w:type="spellStart"/>
      <w:r w:rsidRPr="006F4023">
        <w:t>Bense</w:t>
      </w:r>
      <w:proofErr w:type="spellEnd"/>
      <w:r w:rsidRPr="006F4023">
        <w:t xml:space="preserve"> VF</w:t>
      </w:r>
      <w:r w:rsidR="002279C3" w:rsidRPr="006F4023">
        <w:t xml:space="preserve"> and</w:t>
      </w:r>
      <w:r w:rsidRPr="006F4023">
        <w:t xml:space="preserve"> Person M</w:t>
      </w:r>
      <w:r w:rsidR="002279C3" w:rsidRPr="006F4023">
        <w:t>A</w:t>
      </w:r>
      <w:r w:rsidRPr="006F4023">
        <w:t xml:space="preserve"> 2006</w:t>
      </w:r>
      <w:r w:rsidR="002279C3" w:rsidRPr="006F4023">
        <w:t>.</w:t>
      </w:r>
      <w:r w:rsidRPr="006F4023">
        <w:t xml:space="preserve"> Faults as conduit-barrier systems to fluid flow in siliciclastic sedimentary aquifers. </w:t>
      </w:r>
      <w:r w:rsidRPr="006F4023">
        <w:rPr>
          <w:i/>
          <w:iCs/>
        </w:rPr>
        <w:t xml:space="preserve">Water </w:t>
      </w:r>
      <w:proofErr w:type="spellStart"/>
      <w:r w:rsidRPr="006F4023">
        <w:rPr>
          <w:i/>
          <w:iCs/>
        </w:rPr>
        <w:t>Resour</w:t>
      </w:r>
      <w:proofErr w:type="spellEnd"/>
      <w:r w:rsidRPr="006F4023">
        <w:rPr>
          <w:i/>
          <w:iCs/>
        </w:rPr>
        <w:t xml:space="preserve"> Res</w:t>
      </w:r>
      <w:r w:rsidR="002279C3" w:rsidRPr="006F4023">
        <w:rPr>
          <w:i/>
          <w:iCs/>
        </w:rPr>
        <w:t>,</w:t>
      </w:r>
      <w:r w:rsidRPr="006F4023">
        <w:t xml:space="preserve"> 42:</w:t>
      </w:r>
      <w:r w:rsidR="002279C3" w:rsidRPr="006F4023">
        <w:t xml:space="preserve"> </w:t>
      </w:r>
      <w:r w:rsidRPr="006F4023">
        <w:t>1–18</w:t>
      </w:r>
      <w:r w:rsidR="002279C3" w:rsidRPr="006F4023">
        <w:t xml:space="preserve">, </w:t>
      </w:r>
      <w:r w:rsidRPr="006F4023">
        <w:t>doi.org/10.1029/2005WR004480</w:t>
      </w:r>
      <w:r w:rsidR="002279C3" w:rsidRPr="006F4023">
        <w:t>.</w:t>
      </w:r>
    </w:p>
    <w:p w14:paraId="49A461CF" w14:textId="77777777" w:rsidR="00FC261A" w:rsidRPr="006F4023" w:rsidRDefault="00FC261A" w:rsidP="00FC261A">
      <w:pPr>
        <w:pStyle w:val="References"/>
      </w:pPr>
      <w:proofErr w:type="spellStart"/>
      <w:r w:rsidRPr="006F4023">
        <w:t>Bense</w:t>
      </w:r>
      <w:proofErr w:type="spellEnd"/>
      <w:r w:rsidRPr="006F4023">
        <w:t xml:space="preserve"> VF, Gleeson T, Loveless SE, Bour O and </w:t>
      </w:r>
      <w:proofErr w:type="spellStart"/>
      <w:r w:rsidRPr="006F4023">
        <w:t>Scibek</w:t>
      </w:r>
      <w:proofErr w:type="spellEnd"/>
      <w:r w:rsidRPr="006F4023">
        <w:t xml:space="preserve">, J 2013. Fault zone hydrogeology. </w:t>
      </w:r>
      <w:r w:rsidRPr="006F4023">
        <w:rPr>
          <w:i/>
        </w:rPr>
        <w:t>Earth-Science Reviews</w:t>
      </w:r>
      <w:r w:rsidRPr="006F4023">
        <w:t>, 127: 171-192.</w:t>
      </w:r>
    </w:p>
    <w:p w14:paraId="42492328" w14:textId="77777777" w:rsidR="00FC261A" w:rsidRPr="006F4023" w:rsidRDefault="00FC261A" w:rsidP="00FC261A">
      <w:pPr>
        <w:pStyle w:val="References"/>
      </w:pPr>
      <w:proofErr w:type="spellStart"/>
      <w:r w:rsidRPr="006F4023">
        <w:t>Bouzalakos</w:t>
      </w:r>
      <w:proofErr w:type="spellEnd"/>
      <w:r w:rsidRPr="006F4023">
        <w:t xml:space="preserve"> S, Timms W, Rahman P, McGeeney D</w:t>
      </w:r>
      <w:r w:rsidR="002279C3" w:rsidRPr="006F4023">
        <w:t xml:space="preserve"> and</w:t>
      </w:r>
      <w:r w:rsidRPr="006F4023">
        <w:t xml:space="preserve"> Whelan M 2013.</w:t>
      </w:r>
      <w:r w:rsidR="008A4478" w:rsidRPr="006F4023">
        <w:t xml:space="preserve"> </w:t>
      </w:r>
      <w:r w:rsidRPr="006F4023">
        <w:t xml:space="preserve">Geotechnical centrifuge permeameter for characterizing the hydraulic integrity of partially saturated confining strata for CSG operations. In: Brown A, Figueroa L, </w:t>
      </w:r>
      <w:proofErr w:type="spellStart"/>
      <w:r w:rsidRPr="006F4023">
        <w:t>Wolkersdorfer</w:t>
      </w:r>
      <w:proofErr w:type="spellEnd"/>
      <w:r w:rsidRPr="006F4023">
        <w:t xml:space="preserve"> Ch (eds) Reliable Mine Water Technology (Vol I). – 1–778; Denver, Colorado, USA (Publication Printers). </w:t>
      </w:r>
      <w:r w:rsidRPr="006F4023">
        <w:rPr>
          <w:i/>
          <w:iCs/>
        </w:rPr>
        <w:t>Proceedings of the International Mine Water Congress</w:t>
      </w:r>
      <w:r w:rsidRPr="006F4023">
        <w:t>, Colorado School of Mines, August 5-9, 2013.</w:t>
      </w:r>
    </w:p>
    <w:p w14:paraId="0AD69106" w14:textId="77777777" w:rsidR="00FC261A" w:rsidRPr="006F4023" w:rsidRDefault="00FC261A" w:rsidP="00FC261A">
      <w:pPr>
        <w:pStyle w:val="References"/>
      </w:pPr>
      <w:r w:rsidRPr="006F4023">
        <w:t xml:space="preserve">Caine JS, Evans </w:t>
      </w:r>
      <w:proofErr w:type="gramStart"/>
      <w:r w:rsidRPr="006F4023">
        <w:t>JP</w:t>
      </w:r>
      <w:proofErr w:type="gramEnd"/>
      <w:r w:rsidRPr="006F4023">
        <w:t xml:space="preserve"> and Forster CB 1996. Fault zone architecture and permeability structure. </w:t>
      </w:r>
      <w:r w:rsidRPr="006F4023">
        <w:rPr>
          <w:i/>
        </w:rPr>
        <w:t>Geology</w:t>
      </w:r>
      <w:r w:rsidRPr="006F4023">
        <w:t xml:space="preserve">, 24(11): 1025-1028. </w:t>
      </w:r>
    </w:p>
    <w:p w14:paraId="64863E56" w14:textId="77777777" w:rsidR="00FC261A" w:rsidRPr="006F4023" w:rsidRDefault="00FC261A" w:rsidP="00FC261A">
      <w:pPr>
        <w:pStyle w:val="References"/>
      </w:pPr>
      <w:r w:rsidRPr="006F4023">
        <w:t xml:space="preserve">Caine JS and </w:t>
      </w:r>
      <w:proofErr w:type="spellStart"/>
      <w:r w:rsidRPr="006F4023">
        <w:t>Tomusiak</w:t>
      </w:r>
      <w:proofErr w:type="spellEnd"/>
      <w:r w:rsidRPr="006F4023">
        <w:t xml:space="preserve"> SRA 2003. Brittle structures and their role in controlling porosity and permeability in a complex Precambrian crystalline-rock aquifer system in the Colorado Rocky Mountain Front Range. </w:t>
      </w:r>
      <w:r w:rsidRPr="006F4023">
        <w:rPr>
          <w:i/>
        </w:rPr>
        <w:t>Geological Society of America Bulletin,</w:t>
      </w:r>
      <w:r w:rsidRPr="006F4023">
        <w:t xml:space="preserve"> 115: 1410-1424.</w:t>
      </w:r>
    </w:p>
    <w:p w14:paraId="0D125B10" w14:textId="77777777" w:rsidR="00F85FF7" w:rsidRPr="006F4023" w:rsidRDefault="00F85FF7" w:rsidP="00FC261A">
      <w:pPr>
        <w:pStyle w:val="References"/>
      </w:pPr>
      <w:proofErr w:type="spellStart"/>
      <w:r w:rsidRPr="006F4023">
        <w:t>Carreόn-Freyre</w:t>
      </w:r>
      <w:proofErr w:type="spellEnd"/>
      <w:r w:rsidRPr="006F4023">
        <w:t xml:space="preserve"> D, </w:t>
      </w:r>
      <w:proofErr w:type="spellStart"/>
      <w:r w:rsidRPr="006F4023">
        <w:t>Cerca</w:t>
      </w:r>
      <w:proofErr w:type="spellEnd"/>
      <w:r w:rsidRPr="006F4023">
        <w:t xml:space="preserve"> M, Ochoa-González G, </w:t>
      </w:r>
      <w:proofErr w:type="spellStart"/>
      <w:r w:rsidRPr="006F4023">
        <w:t>Teatini</w:t>
      </w:r>
      <w:proofErr w:type="spellEnd"/>
      <w:r w:rsidRPr="006F4023">
        <w:t xml:space="preserve"> P and </w:t>
      </w:r>
      <w:proofErr w:type="spellStart"/>
      <w:r w:rsidRPr="006F4023">
        <w:t>Zuñiga</w:t>
      </w:r>
      <w:proofErr w:type="spellEnd"/>
      <w:r w:rsidRPr="006F4023">
        <w:t xml:space="preserve"> FR 2016. Shearing along faults and stratigraphic joints controlled by land subsidence in the Valley of Queretaro, Mexico. </w:t>
      </w:r>
      <w:r w:rsidRPr="006F4023">
        <w:rPr>
          <w:i/>
          <w:iCs/>
        </w:rPr>
        <w:t>Hydrogeology</w:t>
      </w:r>
      <w:r w:rsidRPr="006F4023">
        <w:t>, 24: 657-674.</w:t>
      </w:r>
    </w:p>
    <w:p w14:paraId="143C24EB" w14:textId="77777777" w:rsidR="00FC261A" w:rsidRPr="006F4023" w:rsidRDefault="00FC261A" w:rsidP="00FC261A">
      <w:pPr>
        <w:pStyle w:val="References"/>
      </w:pPr>
      <w:r w:rsidRPr="006F4023">
        <w:t xml:space="preserve">Childs C, </w:t>
      </w:r>
      <w:proofErr w:type="spellStart"/>
      <w:r w:rsidRPr="006F4023">
        <w:t>Manzocchi</w:t>
      </w:r>
      <w:proofErr w:type="spellEnd"/>
      <w:r w:rsidRPr="006F4023">
        <w:t xml:space="preserve"> T, Walsh JJ, </w:t>
      </w:r>
      <w:proofErr w:type="spellStart"/>
      <w:r w:rsidRPr="006F4023">
        <w:t>Bonson</w:t>
      </w:r>
      <w:proofErr w:type="spellEnd"/>
      <w:r w:rsidRPr="006F4023">
        <w:t xml:space="preserve"> CG, Nicol A and </w:t>
      </w:r>
      <w:proofErr w:type="spellStart"/>
      <w:r w:rsidRPr="006F4023">
        <w:t>Schopfer</w:t>
      </w:r>
      <w:proofErr w:type="spellEnd"/>
      <w:r w:rsidRPr="006F4023">
        <w:t xml:space="preserve"> MPJ 2009. A geometric model of fault zone and fault rock thickness variations. </w:t>
      </w:r>
      <w:r w:rsidRPr="006F4023">
        <w:rPr>
          <w:i/>
          <w:iCs/>
        </w:rPr>
        <w:t>Journal of</w:t>
      </w:r>
      <w:r w:rsidRPr="006F4023">
        <w:t xml:space="preserve"> </w:t>
      </w:r>
      <w:r w:rsidRPr="006F4023">
        <w:rPr>
          <w:i/>
        </w:rPr>
        <w:t>Structural Geology</w:t>
      </w:r>
      <w:r w:rsidRPr="006F4023">
        <w:t>, 31: 117-127.</w:t>
      </w:r>
    </w:p>
    <w:p w14:paraId="4E81323D" w14:textId="52F73A49" w:rsidR="00DA7380" w:rsidRPr="0038473D" w:rsidRDefault="00DA7380" w:rsidP="006730EF">
      <w:pPr>
        <w:pStyle w:val="References"/>
      </w:pPr>
      <w:r w:rsidRPr="006F4023">
        <w:t>Computational Modelling Group</w:t>
      </w:r>
      <w:r w:rsidR="006730EF" w:rsidRPr="006F4023">
        <w:t xml:space="preserve">, GEM Compositional &amp; Unconventional Simulator </w:t>
      </w:r>
      <w:r w:rsidRPr="006F4023">
        <w:t xml:space="preserve">2020. </w:t>
      </w:r>
      <w:hyperlink r:id="rId54" w:history="1">
        <w:r w:rsidRPr="0038473D">
          <w:rPr>
            <w:rStyle w:val="Hyperlink"/>
          </w:rPr>
          <w:t>https://www.cmgl.ca/gem</w:t>
        </w:r>
      </w:hyperlink>
      <w:r w:rsidRPr="006F4023">
        <w:t>. Accessed November 2020.</w:t>
      </w:r>
    </w:p>
    <w:p w14:paraId="6261165F" w14:textId="77777777" w:rsidR="00E45A2A" w:rsidRPr="006F4023" w:rsidRDefault="00E45A2A" w:rsidP="00FC261A">
      <w:pPr>
        <w:pStyle w:val="References"/>
      </w:pPr>
      <w:r w:rsidRPr="0038473D">
        <w:t xml:space="preserve">Cook PG 2003. </w:t>
      </w:r>
      <w:r w:rsidRPr="006F4023">
        <w:rPr>
          <w:i/>
          <w:iCs/>
        </w:rPr>
        <w:t xml:space="preserve">A guide to regional groundwater flow in fractured rock aquifers, </w:t>
      </w:r>
      <w:r w:rsidRPr="006F4023">
        <w:t>prepared by the Commonwealth Scientific and Industrial Research Organisation (CSIRO).</w:t>
      </w:r>
    </w:p>
    <w:p w14:paraId="41A433E5" w14:textId="77777777" w:rsidR="00116580" w:rsidRPr="006F4023" w:rsidRDefault="00116580" w:rsidP="00FC261A">
      <w:pPr>
        <w:pStyle w:val="References"/>
      </w:pPr>
      <w:r w:rsidRPr="006F4023">
        <w:t xml:space="preserve">Commonwealth of Australia 2014, </w:t>
      </w:r>
      <w:r w:rsidRPr="006F4023">
        <w:rPr>
          <w:i/>
          <w:iCs/>
        </w:rPr>
        <w:t>Temperate Highland Peat Swamps on Sandstone: evaluation of mitigation and remediation techniques, Knowledge report</w:t>
      </w:r>
      <w:r w:rsidRPr="006F4023">
        <w:t>, prepared by the Water Research Laboratory, University of New South Wales, for the Department of the Environment, Commonwealth of Australia’.</w:t>
      </w:r>
    </w:p>
    <w:p w14:paraId="6E9C8315" w14:textId="23C77BA5" w:rsidR="006122E5" w:rsidRDefault="006122E5" w:rsidP="00FC261A">
      <w:pPr>
        <w:pStyle w:val="References"/>
      </w:pPr>
      <w:r>
        <w:lastRenderedPageBreak/>
        <w:t xml:space="preserve">CSIRO 2021. Accessed March 2021 </w:t>
      </w:r>
      <w:hyperlink r:id="rId55" w:history="1">
        <w:r w:rsidRPr="006122E5">
          <w:rPr>
            <w:rStyle w:val="Hyperlink"/>
          </w:rPr>
          <w:t>https://research.csiro.au/mgt/assessment-connective-fracturing-strata-permeability-changes-longwall-extraction/</w:t>
        </w:r>
      </w:hyperlink>
    </w:p>
    <w:p w14:paraId="5367BBEC" w14:textId="6A3E2EF6" w:rsidR="00FC261A" w:rsidRPr="006F4023" w:rsidRDefault="00FC261A" w:rsidP="00FC261A">
      <w:pPr>
        <w:pStyle w:val="References"/>
      </w:pPr>
      <w:proofErr w:type="spellStart"/>
      <w:r w:rsidRPr="006F4023">
        <w:t>Davatzes</w:t>
      </w:r>
      <w:proofErr w:type="spellEnd"/>
      <w:r w:rsidRPr="006F4023">
        <w:t xml:space="preserve"> NC and Aydin A 2005. Distribution and nature of fault architecture in a layered sandstone and shale sequence: an example from the Moab Fault, Utah, in R </w:t>
      </w:r>
      <w:proofErr w:type="spellStart"/>
      <w:r w:rsidRPr="006F4023">
        <w:t>Sorkhabi</w:t>
      </w:r>
      <w:proofErr w:type="spellEnd"/>
      <w:r w:rsidRPr="006F4023">
        <w:t xml:space="preserve"> and Y. Tsuji, eds, Faults, fluid flow and petroleum traps.</w:t>
      </w:r>
      <w:r w:rsidRPr="006F4023">
        <w:rPr>
          <w:i/>
          <w:iCs/>
        </w:rPr>
        <w:t xml:space="preserve"> American Association of Petroleum Geologists Memoir</w:t>
      </w:r>
      <w:r w:rsidR="00F85FF7" w:rsidRPr="006F4023">
        <w:rPr>
          <w:i/>
          <w:iCs/>
        </w:rPr>
        <w:t>,</w:t>
      </w:r>
      <w:r w:rsidRPr="006F4023">
        <w:t xml:space="preserve"> 85: 153-180.</w:t>
      </w:r>
    </w:p>
    <w:p w14:paraId="4DA11D82" w14:textId="77777777" w:rsidR="00FC261A" w:rsidRPr="006F4023" w:rsidRDefault="00FC261A" w:rsidP="00FC261A">
      <w:pPr>
        <w:pStyle w:val="References"/>
      </w:pPr>
      <w:proofErr w:type="spellStart"/>
      <w:r w:rsidRPr="006F4023">
        <w:t>Delogkos</w:t>
      </w:r>
      <w:proofErr w:type="spellEnd"/>
      <w:r w:rsidRPr="006F4023">
        <w:t xml:space="preserve"> E, Childs C, </w:t>
      </w:r>
      <w:proofErr w:type="spellStart"/>
      <w:r w:rsidRPr="006F4023">
        <w:t>Manzocchi</w:t>
      </w:r>
      <w:proofErr w:type="spellEnd"/>
      <w:r w:rsidRPr="006F4023">
        <w:t xml:space="preserve"> T and Walsh JJ 2018. The nature and origin of bed-parallel slip in </w:t>
      </w:r>
      <w:proofErr w:type="spellStart"/>
      <w:r w:rsidRPr="006F4023">
        <w:t>Kardia</w:t>
      </w:r>
      <w:proofErr w:type="spellEnd"/>
      <w:r w:rsidRPr="006F4023">
        <w:t xml:space="preserve"> Mine, Ptolemais Basin, Greece</w:t>
      </w:r>
      <w:r w:rsidRPr="006F4023">
        <w:rPr>
          <w:i/>
          <w:iCs/>
        </w:rPr>
        <w:t>. Journal of Structural</w:t>
      </w:r>
      <w:r w:rsidRPr="006F4023">
        <w:rPr>
          <w:i/>
        </w:rPr>
        <w:t xml:space="preserve"> Geology,</w:t>
      </w:r>
      <w:r w:rsidRPr="006F4023">
        <w:t xml:space="preserve"> 113: 115-133. </w:t>
      </w:r>
    </w:p>
    <w:p w14:paraId="38F5D6B9" w14:textId="77777777" w:rsidR="00B917C8" w:rsidRPr="006F4023" w:rsidRDefault="00B917C8" w:rsidP="00B917C8">
      <w:pPr>
        <w:pStyle w:val="References"/>
      </w:pPr>
      <w:proofErr w:type="spellStart"/>
      <w:r w:rsidRPr="006F4023">
        <w:t>Diersch</w:t>
      </w:r>
      <w:proofErr w:type="spellEnd"/>
      <w:r w:rsidRPr="006F4023">
        <w:t xml:space="preserve"> HJG 2014. FEFLOW – Finite element </w:t>
      </w:r>
      <w:proofErr w:type="spellStart"/>
      <w:r w:rsidRPr="006F4023">
        <w:t>modeling</w:t>
      </w:r>
      <w:proofErr w:type="spellEnd"/>
      <w:r w:rsidRPr="006F4023">
        <w:t xml:space="preserve"> of flow, mass and heat transport in porous and fractured media, Springer, 2014, Berlin Heidelberg, XXXV, 996p., ISBN 978-3-642-38738-8, ISBN 978-3-642-38739-5 (eBook), doi:10.1007/978-3-642-38739-5.</w:t>
      </w:r>
    </w:p>
    <w:p w14:paraId="4A3B5085" w14:textId="77777777" w:rsidR="00333B52" w:rsidRPr="006F4023" w:rsidRDefault="00333B52" w:rsidP="00333B52">
      <w:pPr>
        <w:pStyle w:val="References"/>
      </w:pPr>
      <w:r w:rsidRPr="006F4023">
        <w:t>Doherty J 2015. Calibration and Uncertainty Analysis for Complex Environmental Models. Watermark Numerical Computing, Brisbane, Australia. ISBN: 978-0-9943786-0-6.</w:t>
      </w:r>
    </w:p>
    <w:p w14:paraId="608CEBEF" w14:textId="77777777" w:rsidR="00333B52" w:rsidRPr="006F4023" w:rsidRDefault="00333B52" w:rsidP="00333B52">
      <w:pPr>
        <w:pStyle w:val="References"/>
      </w:pPr>
      <w:r w:rsidRPr="006F4023">
        <w:t xml:space="preserve">Doherty JE 2018. PEST - Model-Independent Parameter Estimation. 7th Edition published in 2018. Latest additions: Feb 2020. Watermark Numerical Computing, Brisbane, Australia. </w:t>
      </w:r>
    </w:p>
    <w:p w14:paraId="19442610" w14:textId="77777777" w:rsidR="00A478FB" w:rsidRPr="006F4023" w:rsidRDefault="00A478FB" w:rsidP="00B917C8">
      <w:pPr>
        <w:pStyle w:val="References"/>
      </w:pPr>
      <w:r w:rsidRPr="006F4023">
        <w:t xml:space="preserve">Doherty J and Moore CR 2020. Decision support </w:t>
      </w:r>
      <w:proofErr w:type="spellStart"/>
      <w:r w:rsidRPr="006F4023">
        <w:t>modeling</w:t>
      </w:r>
      <w:proofErr w:type="spellEnd"/>
      <w:r w:rsidRPr="006F4023">
        <w:t xml:space="preserve">: data assimilation, uncertainty quantification, and strategic abstraction. </w:t>
      </w:r>
      <w:r w:rsidRPr="006F4023">
        <w:rPr>
          <w:i/>
          <w:iCs/>
        </w:rPr>
        <w:t>Ground water</w:t>
      </w:r>
      <w:r w:rsidRPr="006F4023">
        <w:t xml:space="preserve">, 58(3): 327-337. </w:t>
      </w:r>
      <w:proofErr w:type="spellStart"/>
      <w:r w:rsidRPr="006F4023">
        <w:t>doi</w:t>
      </w:r>
      <w:proofErr w:type="spellEnd"/>
      <w:r w:rsidRPr="006F4023">
        <w:t>: 10.1111/gwat.12969.</w:t>
      </w:r>
    </w:p>
    <w:p w14:paraId="6674FF6A" w14:textId="77777777" w:rsidR="00FC261A" w:rsidRPr="006F4023" w:rsidRDefault="00FC261A" w:rsidP="00FC261A">
      <w:pPr>
        <w:pStyle w:val="References"/>
      </w:pPr>
      <w:r w:rsidRPr="006F4023">
        <w:t xml:space="preserve">Doody TM, Hancock </w:t>
      </w:r>
      <w:proofErr w:type="gramStart"/>
      <w:r w:rsidRPr="006F4023">
        <w:t>PJ</w:t>
      </w:r>
      <w:proofErr w:type="gramEnd"/>
      <w:r w:rsidRPr="006F4023">
        <w:t xml:space="preserve"> and Pritchard JL 2019. </w:t>
      </w:r>
      <w:r w:rsidRPr="006F4023">
        <w:rPr>
          <w:i/>
          <w:iCs/>
        </w:rPr>
        <w:t>Information Guidelines Explanatory Note: Assessing groundwater-dependent ecosystems</w:t>
      </w:r>
      <w:r w:rsidRPr="006F4023">
        <w:t>. Report prepared for the Independent Expert Scientific Committee on Coal Seam Gas and Large Coal Mining Development through the Department of the Environment and Energy, Commonwealth of Australia 2019.</w:t>
      </w:r>
    </w:p>
    <w:p w14:paraId="317769EA" w14:textId="6C31881F" w:rsidR="00FC261A" w:rsidRDefault="00FC261A" w:rsidP="00FC261A">
      <w:pPr>
        <w:pStyle w:val="References"/>
      </w:pPr>
      <w:r w:rsidRPr="006F4023">
        <w:t xml:space="preserve">Fossen H 2016. </w:t>
      </w:r>
      <w:r w:rsidRPr="006F4023">
        <w:rPr>
          <w:i/>
          <w:iCs/>
        </w:rPr>
        <w:t>Structural Geology, second edition</w:t>
      </w:r>
      <w:r w:rsidRPr="006F4023">
        <w:t xml:space="preserve">, Cambridge University Press, Cambridge, United Kingdom. </w:t>
      </w:r>
    </w:p>
    <w:p w14:paraId="433FFD21" w14:textId="5208E078" w:rsidR="0003177D" w:rsidRPr="006F4023" w:rsidRDefault="0003177D" w:rsidP="0003177D">
      <w:pPr>
        <w:pStyle w:val="References"/>
      </w:pPr>
      <w:r>
        <w:t xml:space="preserve">Golder Associates 2019. </w:t>
      </w:r>
      <w:proofErr w:type="spellStart"/>
      <w:r>
        <w:t>FracMan</w:t>
      </w:r>
      <w:proofErr w:type="spellEnd"/>
      <w:r>
        <w:t xml:space="preserve"> Interactive Discrete Feature Data Analysis, Geometric </w:t>
      </w:r>
      <w:proofErr w:type="spellStart"/>
      <w:r>
        <w:t>Modeling</w:t>
      </w:r>
      <w:proofErr w:type="spellEnd"/>
      <w:r>
        <w:t xml:space="preserve"> and Exploration Simulation, User Documentation, v7.8.</w:t>
      </w:r>
    </w:p>
    <w:p w14:paraId="4D26F8C5" w14:textId="77777777" w:rsidR="00FC261A" w:rsidRPr="006F4023" w:rsidRDefault="00FC261A" w:rsidP="00FC261A">
      <w:pPr>
        <w:pStyle w:val="References"/>
      </w:pPr>
      <w:proofErr w:type="spellStart"/>
      <w:r w:rsidRPr="006F4023">
        <w:t>Gumm</w:t>
      </w:r>
      <w:proofErr w:type="spellEnd"/>
      <w:r w:rsidRPr="006F4023">
        <w:t xml:space="preserve"> L, </w:t>
      </w:r>
      <w:proofErr w:type="spellStart"/>
      <w:r w:rsidRPr="006F4023">
        <w:t>Bense</w:t>
      </w:r>
      <w:proofErr w:type="spellEnd"/>
      <w:r w:rsidRPr="006F4023">
        <w:t xml:space="preserve"> V, Dennis PF, Hiscock KM, Cremer N, Simon S, 2016. Deep circulating crustal fluids in shallow unconsolidated sedimentary aquifers – hydrogeochemical tracers of preferential flow along faults. </w:t>
      </w:r>
      <w:r w:rsidRPr="006F4023">
        <w:rPr>
          <w:i/>
          <w:iCs/>
        </w:rPr>
        <w:t>Hydrogeology Journal</w:t>
      </w:r>
      <w:r w:rsidRPr="006F4023">
        <w:t xml:space="preserve">. 24:1, </w:t>
      </w:r>
      <w:proofErr w:type="spellStart"/>
      <w:r w:rsidRPr="006F4023">
        <w:t>doi</w:t>
      </w:r>
      <w:proofErr w:type="spellEnd"/>
      <w:r w:rsidRPr="006F4023">
        <w:t>: 10.1007/s10040-015-1321-7.</w:t>
      </w:r>
    </w:p>
    <w:p w14:paraId="6B227155" w14:textId="77777777" w:rsidR="00FC261A" w:rsidRPr="006F4023" w:rsidRDefault="00FC261A" w:rsidP="00FC261A">
      <w:pPr>
        <w:pStyle w:val="References"/>
      </w:pPr>
      <w:proofErr w:type="spellStart"/>
      <w:r w:rsidRPr="006F4023">
        <w:t>Gumm</w:t>
      </w:r>
      <w:proofErr w:type="spellEnd"/>
      <w:r w:rsidRPr="006F4023">
        <w:t xml:space="preserve"> LP, </w:t>
      </w:r>
      <w:proofErr w:type="spellStart"/>
      <w:r w:rsidRPr="006F4023">
        <w:t>Bense</w:t>
      </w:r>
      <w:proofErr w:type="spellEnd"/>
      <w:r w:rsidRPr="006F4023">
        <w:t xml:space="preserve"> VF, Dennis PF, Hiscock KM, Cremer M and Simon S 2016. Dissolved noble gases and stable isotopes as tracers of preferential fluid flow along faults in the Lower Rhine Embayment, Germany. </w:t>
      </w:r>
      <w:r w:rsidRPr="006F4023">
        <w:rPr>
          <w:i/>
        </w:rPr>
        <w:t>Hydrogeological</w:t>
      </w:r>
      <w:r w:rsidRPr="006F4023" w:rsidDel="002D64A5">
        <w:t xml:space="preserve"> </w:t>
      </w:r>
      <w:r w:rsidRPr="006F4023" w:rsidDel="002D64A5">
        <w:rPr>
          <w:i/>
        </w:rPr>
        <w:t>Journal</w:t>
      </w:r>
      <w:r w:rsidRPr="006F4023">
        <w:t>, 24: 99-108. doi.org/10.1007/s10040-015-1321-7.</w:t>
      </w:r>
    </w:p>
    <w:p w14:paraId="24ECC6FF" w14:textId="7183DCF5" w:rsidR="005D675A" w:rsidRPr="006F4023" w:rsidRDefault="005D675A" w:rsidP="00FC261A">
      <w:pPr>
        <w:pStyle w:val="References"/>
      </w:pPr>
      <w:proofErr w:type="spellStart"/>
      <w:r w:rsidRPr="006F4023">
        <w:t>Hadgu</w:t>
      </w:r>
      <w:proofErr w:type="spellEnd"/>
      <w:r w:rsidRPr="006F4023">
        <w:t xml:space="preserve"> T, </w:t>
      </w:r>
      <w:proofErr w:type="spellStart"/>
      <w:r w:rsidRPr="006F4023">
        <w:t>Karra</w:t>
      </w:r>
      <w:proofErr w:type="spellEnd"/>
      <w:r w:rsidRPr="006F4023">
        <w:t xml:space="preserve"> S, </w:t>
      </w:r>
      <w:proofErr w:type="spellStart"/>
      <w:r w:rsidRPr="006F4023">
        <w:t>Kalinina</w:t>
      </w:r>
      <w:proofErr w:type="spellEnd"/>
      <w:r w:rsidRPr="006F4023">
        <w:t xml:space="preserve"> E, </w:t>
      </w:r>
      <w:proofErr w:type="spellStart"/>
      <w:r w:rsidRPr="006F4023">
        <w:t>Makedonska</w:t>
      </w:r>
      <w:proofErr w:type="spellEnd"/>
      <w:r w:rsidRPr="006F4023">
        <w:t xml:space="preserve"> N, Hyman J, </w:t>
      </w:r>
      <w:proofErr w:type="spellStart"/>
      <w:r w:rsidRPr="006F4023">
        <w:t>Klise</w:t>
      </w:r>
      <w:proofErr w:type="spellEnd"/>
      <w:r w:rsidRPr="006F4023">
        <w:t xml:space="preserve"> K, Viswanathan </w:t>
      </w:r>
      <w:proofErr w:type="gramStart"/>
      <w:r w:rsidRPr="006F4023">
        <w:t>H,  and</w:t>
      </w:r>
      <w:proofErr w:type="gramEnd"/>
      <w:r w:rsidRPr="006F4023">
        <w:t xml:space="preserve"> Wang Y. A Comparative Study of Discrete Fracture Network and Equivalent Continuum Models for Simulating Flow and Transport in the Far Field of a Hypothetical Nuclear Waste Repository in Crystalline Host Rock.” </w:t>
      </w:r>
      <w:r w:rsidRPr="006F4023">
        <w:rPr>
          <w:i/>
        </w:rPr>
        <w:t>Journal of Hydrology</w:t>
      </w:r>
      <w:r w:rsidRPr="006F4023">
        <w:t xml:space="preserve"> 553 (October 1, 2017): 59–70. </w:t>
      </w:r>
      <w:hyperlink r:id="rId56" w:history="1">
        <w:r w:rsidRPr="0038473D">
          <w:rPr>
            <w:rStyle w:val="Hyperlink"/>
          </w:rPr>
          <w:t>https://doi.org/10.1016/j.jhydrol.2017.07.046</w:t>
        </w:r>
      </w:hyperlink>
    </w:p>
    <w:p w14:paraId="2362CCEE" w14:textId="6AC0860F" w:rsidR="00F85FF7" w:rsidRPr="0038473D" w:rsidRDefault="00F85FF7" w:rsidP="00FC261A">
      <w:pPr>
        <w:pStyle w:val="References"/>
      </w:pPr>
      <w:r w:rsidRPr="0038473D">
        <w:t xml:space="preserve">Hadley DR, Abrams DB and Roadcap GS 2019. </w:t>
      </w:r>
      <w:proofErr w:type="spellStart"/>
      <w:r w:rsidRPr="0038473D">
        <w:t>Modeling</w:t>
      </w:r>
      <w:proofErr w:type="spellEnd"/>
      <w:r w:rsidRPr="0038473D">
        <w:t xml:space="preserve"> a large-scale historic aquifer test: Insight into the hydrogeology of a regional fault zone. </w:t>
      </w:r>
      <w:r w:rsidRPr="006F4023">
        <w:rPr>
          <w:i/>
          <w:iCs/>
        </w:rPr>
        <w:t>Groundwater</w:t>
      </w:r>
      <w:r w:rsidRPr="006F4023">
        <w:t xml:space="preserve">, </w:t>
      </w:r>
      <w:r w:rsidR="00FD4BAE" w:rsidRPr="006F4023">
        <w:t xml:space="preserve">58(3): 453-463. </w:t>
      </w:r>
      <w:hyperlink r:id="rId57" w:history="1">
        <w:r w:rsidR="00FD4BAE" w:rsidRPr="0038473D">
          <w:t>doi.org/10.1111/gwat.12922</w:t>
        </w:r>
      </w:hyperlink>
      <w:r w:rsidR="00FD4BAE" w:rsidRPr="006F4023">
        <w:t>.</w:t>
      </w:r>
    </w:p>
    <w:p w14:paraId="205C9477" w14:textId="76E3CC61" w:rsidR="00FB6745" w:rsidRPr="0038473D" w:rsidRDefault="00FB6745" w:rsidP="00FC261A">
      <w:pPr>
        <w:pStyle w:val="References"/>
      </w:pPr>
      <w:r w:rsidRPr="0038473D">
        <w:t>Harbaugh AW 2005. MODFLOW-2005: the U.S. Geological</w:t>
      </w:r>
      <w:r w:rsidRPr="006F4023">
        <w:t xml:space="preserve"> Survey modular ground-water model—The ground-water flow process. U.S. Geological Survey Techniques and Methods 6–</w:t>
      </w:r>
      <w:r w:rsidR="00010C71" w:rsidRPr="006F4023">
        <w:t>A-1</w:t>
      </w:r>
      <w:r w:rsidRPr="006F4023">
        <w:t xml:space="preserve">6, variously paged. Available [online]: </w:t>
      </w:r>
      <w:hyperlink r:id="rId58" w:tgtFrame="_blank" w:history="1">
        <w:r w:rsidRPr="0038473D">
          <w:rPr>
            <w:rStyle w:val="Hyperlink"/>
          </w:rPr>
          <w:t>https://pubs.er.usgs.gov/publication/tm6</w:t>
        </w:r>
        <w:r w:rsidR="00010C71" w:rsidRPr="006F4023">
          <w:rPr>
            <w:rStyle w:val="Hyperlink"/>
          </w:rPr>
          <w:t>A-1</w:t>
        </w:r>
        <w:r w:rsidRPr="006F4023">
          <w:rPr>
            <w:rStyle w:val="Hyperlink"/>
          </w:rPr>
          <w:t>6</w:t>
        </w:r>
      </w:hyperlink>
      <w:r w:rsidRPr="006F4023">
        <w:t>, accessed August 2020.</w:t>
      </w:r>
    </w:p>
    <w:p w14:paraId="1AB85015" w14:textId="6EA6295F" w:rsidR="00B74D7F" w:rsidRPr="006F4023" w:rsidRDefault="00B74D7F" w:rsidP="00B74D7F">
      <w:pPr>
        <w:pStyle w:val="References"/>
      </w:pPr>
      <w:r w:rsidRPr="0038473D">
        <w:t xml:space="preserve">Hsieh PA and </w:t>
      </w:r>
      <w:proofErr w:type="spellStart"/>
      <w:r w:rsidRPr="0038473D">
        <w:t>Freckleton</w:t>
      </w:r>
      <w:proofErr w:type="spellEnd"/>
      <w:r w:rsidRPr="0038473D">
        <w:t xml:space="preserve"> JR 1993. Documentation of a computer program to simulate horizontal-flow barriers using th</w:t>
      </w:r>
      <w:r w:rsidRPr="006F4023">
        <w:t>e U.S. Geological Survey modular three-dimensional finite-difference ground-water flow model. U.S. Geological Survey Open-File Report 92-477, p 32.</w:t>
      </w:r>
    </w:p>
    <w:p w14:paraId="2BE4E79C" w14:textId="77777777" w:rsidR="00FC261A" w:rsidRPr="006F4023" w:rsidRDefault="00FC261A" w:rsidP="00FC261A">
      <w:pPr>
        <w:pStyle w:val="References"/>
      </w:pPr>
      <w:proofErr w:type="spellStart"/>
      <w:r w:rsidRPr="006F4023">
        <w:t>Iverach</w:t>
      </w:r>
      <w:proofErr w:type="spellEnd"/>
      <w:r w:rsidRPr="006F4023">
        <w:t xml:space="preserve"> CP, </w:t>
      </w:r>
      <w:proofErr w:type="spellStart"/>
      <w:r w:rsidRPr="006F4023">
        <w:t>Cendón</w:t>
      </w:r>
      <w:proofErr w:type="spellEnd"/>
      <w:r w:rsidRPr="006F4023">
        <w:t xml:space="preserve"> DI, Beckmann S, </w:t>
      </w:r>
      <w:proofErr w:type="spellStart"/>
      <w:r w:rsidRPr="006F4023">
        <w:t>Hankin</w:t>
      </w:r>
      <w:proofErr w:type="spellEnd"/>
      <w:r w:rsidRPr="006F4023">
        <w:t xml:space="preserve"> SI, </w:t>
      </w:r>
      <w:proofErr w:type="spellStart"/>
      <w:r w:rsidRPr="006F4023">
        <w:t>Manefield</w:t>
      </w:r>
      <w:proofErr w:type="spellEnd"/>
      <w:r w:rsidRPr="006F4023">
        <w:t xml:space="preserve"> M and Kelly BFJ 2019. Constraining source attribution of methane in an alluvial aquifer with multiple recharge pathways. </w:t>
      </w:r>
      <w:r w:rsidRPr="006F4023">
        <w:rPr>
          <w:i/>
        </w:rPr>
        <w:t>The Science of the Total Environment</w:t>
      </w:r>
      <w:r w:rsidRPr="006F4023">
        <w:t>, 2019. doi.org/10.1016/j.scitotenv.2019.134927Lawrie134927.</w:t>
      </w:r>
    </w:p>
    <w:p w14:paraId="07960512" w14:textId="1C24AAC3" w:rsidR="00B917C8" w:rsidRPr="0038473D" w:rsidRDefault="00B917C8" w:rsidP="00FC261A">
      <w:pPr>
        <w:pStyle w:val="References"/>
      </w:pPr>
      <w:r w:rsidRPr="006F4023">
        <w:lastRenderedPageBreak/>
        <w:t xml:space="preserve">Langevin CD, Hughes JD, Banta ER, </w:t>
      </w:r>
      <w:proofErr w:type="spellStart"/>
      <w:r w:rsidRPr="006F4023">
        <w:t>Niswonger</w:t>
      </w:r>
      <w:proofErr w:type="spellEnd"/>
      <w:r w:rsidRPr="006F4023">
        <w:t xml:space="preserve"> RG, Panday, </w:t>
      </w:r>
      <w:proofErr w:type="spellStart"/>
      <w:r w:rsidRPr="006F4023">
        <w:t>Sorab</w:t>
      </w:r>
      <w:proofErr w:type="spellEnd"/>
      <w:r w:rsidRPr="006F4023">
        <w:t xml:space="preserve">, and Provost AM 2017. Documentation for the MODFLOW 6 Groundwater Flow Model. U.S. Geological Survey Techniques and Methods, book 6. </w:t>
      </w:r>
      <w:hyperlink r:id="rId59" w:history="1">
        <w:r w:rsidRPr="0038473D">
          <w:t>doi.org/10.3133/tm6A55</w:t>
        </w:r>
      </w:hyperlink>
      <w:r w:rsidRPr="006F4023">
        <w:t>.</w:t>
      </w:r>
    </w:p>
    <w:p w14:paraId="214D3C43" w14:textId="77777777" w:rsidR="00FC261A" w:rsidRPr="006F4023" w:rsidRDefault="00FC261A" w:rsidP="00FC261A">
      <w:pPr>
        <w:pStyle w:val="References"/>
      </w:pPr>
      <w:proofErr w:type="spellStart"/>
      <w:r w:rsidRPr="0038473D">
        <w:t>Mallants</w:t>
      </w:r>
      <w:proofErr w:type="spellEnd"/>
      <w:r w:rsidRPr="0038473D">
        <w:t xml:space="preserve"> D, </w:t>
      </w:r>
      <w:proofErr w:type="spellStart"/>
      <w:r w:rsidRPr="0038473D">
        <w:t>Underschultz</w:t>
      </w:r>
      <w:proofErr w:type="spellEnd"/>
      <w:r w:rsidRPr="0038473D">
        <w:t xml:space="preserve"> J</w:t>
      </w:r>
      <w:r w:rsidR="002279C3" w:rsidRPr="006F4023">
        <w:t xml:space="preserve"> and</w:t>
      </w:r>
      <w:r w:rsidRPr="006F4023">
        <w:t xml:space="preserve"> Simmons C (eds) 2018. </w:t>
      </w:r>
      <w:r w:rsidRPr="006F4023">
        <w:rPr>
          <w:i/>
          <w:iCs/>
        </w:rPr>
        <w:t xml:space="preserve">Integrated analysis of </w:t>
      </w:r>
      <w:proofErr w:type="spellStart"/>
      <w:r w:rsidRPr="006F4023">
        <w:rPr>
          <w:i/>
          <w:iCs/>
        </w:rPr>
        <w:t>hydrochemical</w:t>
      </w:r>
      <w:proofErr w:type="spellEnd"/>
      <w:r w:rsidRPr="006F4023">
        <w:rPr>
          <w:i/>
          <w:iCs/>
        </w:rPr>
        <w:t xml:space="preserve">, geophysical, </w:t>
      </w:r>
      <w:proofErr w:type="gramStart"/>
      <w:r w:rsidRPr="006F4023">
        <w:rPr>
          <w:i/>
          <w:iCs/>
        </w:rPr>
        <w:t>hydraulic</w:t>
      </w:r>
      <w:proofErr w:type="gramEnd"/>
      <w:r w:rsidRPr="006F4023">
        <w:rPr>
          <w:i/>
          <w:iCs/>
        </w:rPr>
        <w:t xml:space="preserve"> and structural geology data to improve characterisation and conceptualisation of faults for use in regional groundwater flow models</w:t>
      </w:r>
      <w:r w:rsidRPr="006F4023">
        <w:t>, prepared by the Commonwealth Scientific and Industrial Research Organisation (CSIRO) in collaboration with University of Queensland (UQ) and Flinders University of South Australia (FUSA)</w:t>
      </w:r>
      <w:r w:rsidR="002279C3" w:rsidRPr="006F4023">
        <w:t>.</w:t>
      </w:r>
    </w:p>
    <w:p w14:paraId="2B0D9D13" w14:textId="77777777" w:rsidR="00FC261A" w:rsidRPr="006F4023" w:rsidRDefault="00FC261A" w:rsidP="00FC261A">
      <w:pPr>
        <w:pStyle w:val="References"/>
      </w:pPr>
      <w:proofErr w:type="spellStart"/>
      <w:r w:rsidRPr="006F4023">
        <w:t>Manzocchi</w:t>
      </w:r>
      <w:proofErr w:type="spellEnd"/>
      <w:r w:rsidRPr="006F4023">
        <w:t xml:space="preserve"> T, Childs C and Walsh JJ 2010. Faults and fault properties in hydrocarbon flow models. </w:t>
      </w:r>
      <w:r w:rsidRPr="006F4023">
        <w:rPr>
          <w:i/>
        </w:rPr>
        <w:t>Geofluids,</w:t>
      </w:r>
      <w:r w:rsidRPr="006F4023">
        <w:t xml:space="preserve"> 10 (1–2): 94–113.</w:t>
      </w:r>
    </w:p>
    <w:p w14:paraId="444FA75C" w14:textId="45B7C8B1" w:rsidR="004E13FC" w:rsidRPr="0038473D" w:rsidRDefault="004E13FC" w:rsidP="00FC261A">
      <w:pPr>
        <w:pStyle w:val="References"/>
      </w:pPr>
      <w:r w:rsidRPr="006F4023">
        <w:t xml:space="preserve">Marshall S, Cook P, Miller A, Simmons S and </w:t>
      </w:r>
      <w:proofErr w:type="spellStart"/>
      <w:r w:rsidRPr="006F4023">
        <w:t>Dogramaci</w:t>
      </w:r>
      <w:proofErr w:type="spellEnd"/>
      <w:r w:rsidRPr="006F4023">
        <w:t xml:space="preserve"> S 2019. The effect of undetected barriers on groundwater drawdown and recovery. </w:t>
      </w:r>
      <w:r w:rsidRPr="006F4023">
        <w:rPr>
          <w:i/>
          <w:iCs/>
        </w:rPr>
        <w:t>Groundwater</w:t>
      </w:r>
      <w:r w:rsidRPr="006F4023">
        <w:t xml:space="preserve">, 57(5): </w:t>
      </w:r>
      <w:r w:rsidR="00C631B6" w:rsidRPr="006F4023">
        <w:t>718-726</w:t>
      </w:r>
      <w:r w:rsidRPr="006F4023">
        <w:t>. doi.org/</w:t>
      </w:r>
      <w:hyperlink r:id="rId60" w:tgtFrame="_blank" w:history="1">
        <w:r w:rsidRPr="0038473D">
          <w:t>10.1111/gwat.12856</w:t>
        </w:r>
      </w:hyperlink>
      <w:r w:rsidRPr="006F4023">
        <w:t>.</w:t>
      </w:r>
    </w:p>
    <w:p w14:paraId="3ED45CDF" w14:textId="77777777" w:rsidR="00686533" w:rsidRPr="006F4023" w:rsidRDefault="00686533" w:rsidP="00FC261A">
      <w:pPr>
        <w:pStyle w:val="References"/>
      </w:pPr>
      <w:r w:rsidRPr="0038473D">
        <w:t xml:space="preserve">McMillan TC, Rau GC, Timms WA, and Andersen MS 2019. Utilizing the impact of Earth and atmospheric tides on groundwater systems: A review reveals the future potential. </w:t>
      </w:r>
      <w:r w:rsidRPr="006F4023">
        <w:rPr>
          <w:i/>
          <w:iCs/>
        </w:rPr>
        <w:t>Reviews of Geophysics</w:t>
      </w:r>
      <w:r w:rsidRPr="006F4023">
        <w:t>,</w:t>
      </w:r>
      <w:r w:rsidR="002279C3" w:rsidRPr="006F4023">
        <w:t xml:space="preserve"> </w:t>
      </w:r>
      <w:proofErr w:type="spellStart"/>
      <w:r w:rsidR="002279C3" w:rsidRPr="006F4023">
        <w:t>d</w:t>
      </w:r>
      <w:r w:rsidRPr="006F4023">
        <w:t>oi</w:t>
      </w:r>
      <w:proofErr w:type="spellEnd"/>
      <w:r w:rsidRPr="006F4023">
        <w:t>/abs/10.1029/2018RG000630</w:t>
      </w:r>
      <w:r w:rsidR="00511264" w:rsidRPr="006F4023">
        <w:t>.</w:t>
      </w:r>
    </w:p>
    <w:p w14:paraId="73FBB8CA" w14:textId="77777777" w:rsidR="00FC261A" w:rsidRPr="006F4023" w:rsidRDefault="00FC261A" w:rsidP="00FC261A">
      <w:pPr>
        <w:pStyle w:val="References"/>
      </w:pPr>
      <w:proofErr w:type="spellStart"/>
      <w:r w:rsidRPr="006F4023">
        <w:t>Middlemis</w:t>
      </w:r>
      <w:proofErr w:type="spellEnd"/>
      <w:r w:rsidRPr="006F4023">
        <w:t xml:space="preserve"> H and </w:t>
      </w:r>
      <w:proofErr w:type="spellStart"/>
      <w:r w:rsidRPr="006F4023">
        <w:t>Peeters</w:t>
      </w:r>
      <w:proofErr w:type="spellEnd"/>
      <w:r w:rsidRPr="006F4023">
        <w:t xml:space="preserve"> LJM 2018. Uncertainty analysis—Guidance for groundwater modelling within a risk management framework. A report prepared for the Independent Expert Scientific Committee on Coal Seam Gas and Large Coal Mining Development through the Department of the Environment and Energy, Commonwealth of Australia 2018.</w:t>
      </w:r>
    </w:p>
    <w:p w14:paraId="1AED1F29" w14:textId="77777777" w:rsidR="00FC261A" w:rsidRPr="006F4023" w:rsidRDefault="00FC261A" w:rsidP="00FC261A">
      <w:pPr>
        <w:pStyle w:val="References"/>
      </w:pPr>
      <w:proofErr w:type="spellStart"/>
      <w:r w:rsidRPr="006F4023">
        <w:t>Milkov</w:t>
      </w:r>
      <w:proofErr w:type="spellEnd"/>
      <w:r w:rsidRPr="006F4023">
        <w:t xml:space="preserve"> A, </w:t>
      </w:r>
      <w:proofErr w:type="spellStart"/>
      <w:r w:rsidRPr="006F4023">
        <w:t>Gobel</w:t>
      </w:r>
      <w:proofErr w:type="spellEnd"/>
      <w:r w:rsidRPr="006F4023">
        <w:t xml:space="preserve"> M, </w:t>
      </w:r>
      <w:proofErr w:type="spellStart"/>
      <w:r w:rsidRPr="006F4023">
        <w:t>Dzou</w:t>
      </w:r>
      <w:proofErr w:type="spellEnd"/>
      <w:r w:rsidRPr="006F4023">
        <w:t xml:space="preserve"> L, Fisher DA, Kutch A, McCaslin N, and Bergman DF 2007. Compartmentalization and time-lapse geochemical reservoir surveillance of the Horn Mountain oil field, deep-water Gulf of Mexico. </w:t>
      </w:r>
      <w:r w:rsidRPr="006F4023">
        <w:rPr>
          <w:i/>
          <w:iCs/>
        </w:rPr>
        <w:t>American Association of Petroleum Geologists Bulletin</w:t>
      </w:r>
      <w:r w:rsidRPr="006F4023">
        <w:t>, 91: 847-876.</w:t>
      </w:r>
    </w:p>
    <w:p w14:paraId="15D13273" w14:textId="38B03CD3" w:rsidR="00DF64BD" w:rsidRPr="006F4023" w:rsidRDefault="00DF64BD" w:rsidP="00DF64BD">
      <w:pPr>
        <w:pStyle w:val="References"/>
      </w:pPr>
      <w:proofErr w:type="spellStart"/>
      <w:r w:rsidRPr="006F4023">
        <w:t>Newmann</w:t>
      </w:r>
      <w:proofErr w:type="spellEnd"/>
      <w:r w:rsidRPr="006F4023">
        <w:t xml:space="preserve"> C, </w:t>
      </w:r>
      <w:proofErr w:type="spellStart"/>
      <w:r w:rsidRPr="006F4023">
        <w:t>Agioutantis</w:t>
      </w:r>
      <w:proofErr w:type="spellEnd"/>
      <w:r w:rsidRPr="006F4023">
        <w:t xml:space="preserve"> Z and Leon GBJ 2017. Assessment of potential impacts to surface and subsurface water bodies due to longwall mining. </w:t>
      </w:r>
      <w:r w:rsidRPr="006F4023">
        <w:rPr>
          <w:i/>
          <w:iCs/>
        </w:rPr>
        <w:t>International Journal of Mining Science and Technology,</w:t>
      </w:r>
      <w:r w:rsidRPr="006F4023">
        <w:t xml:space="preserve"> 27: 57-64.</w:t>
      </w:r>
    </w:p>
    <w:p w14:paraId="08E8E30C" w14:textId="369AFD93" w:rsidR="003B182D" w:rsidRPr="006F4023" w:rsidRDefault="003B182D" w:rsidP="003B182D">
      <w:pPr>
        <w:pStyle w:val="References"/>
      </w:pPr>
      <w:r w:rsidRPr="006F4023">
        <w:t xml:space="preserve">Oda M. (1985) Permeability tensor for discontinuous rock masses. </w:t>
      </w:r>
      <w:proofErr w:type="spellStart"/>
      <w:r w:rsidRPr="006F4023">
        <w:t>Géotechnique</w:t>
      </w:r>
      <w:proofErr w:type="spellEnd"/>
      <w:r w:rsidRPr="006F4023">
        <w:t xml:space="preserve"> 35:483–495. </w:t>
      </w:r>
      <w:r w:rsidRPr="006F4023">
        <w:br/>
      </w:r>
      <w:hyperlink r:id="rId61" w:history="1">
        <w:r w:rsidRPr="0038473D">
          <w:rPr>
            <w:rStyle w:val="Hyperlink"/>
            <w:u w:val="none"/>
          </w:rPr>
          <w:t>https://doi.org/10.1680/geot.1985.35.4.483</w:t>
        </w:r>
      </w:hyperlink>
    </w:p>
    <w:p w14:paraId="1589355B" w14:textId="72FED0FB" w:rsidR="003253D3" w:rsidRPr="0038473D" w:rsidRDefault="003253D3" w:rsidP="00FC261A">
      <w:pPr>
        <w:pStyle w:val="References"/>
      </w:pPr>
      <w:r w:rsidRPr="0038473D">
        <w:t xml:space="preserve">Office of Groundwater Impact Assessment (OGIA) 2019. Underground Water Impact Report for the Surat Cumulative Management Area. Available [online]: </w:t>
      </w:r>
      <w:hyperlink r:id="rId62" w:history="1">
        <w:r w:rsidRPr="0038473D">
          <w:rPr>
            <w:rStyle w:val="Hyperlink"/>
          </w:rPr>
          <w:t>https://www.dnrme.qld.gov.au/__data/assets/pdf_file/0020/1461242/uwir-main-report.pdf</w:t>
        </w:r>
      </w:hyperlink>
      <w:r w:rsidR="002279C3" w:rsidRPr="006F4023">
        <w:t>, accessed</w:t>
      </w:r>
      <w:r w:rsidRPr="0038473D">
        <w:t xml:space="preserve"> June 2020.</w:t>
      </w:r>
    </w:p>
    <w:p w14:paraId="4BD093CA" w14:textId="77777777" w:rsidR="00511264" w:rsidRPr="006F4023" w:rsidRDefault="00511264" w:rsidP="00FC261A">
      <w:pPr>
        <w:pStyle w:val="References"/>
      </w:pPr>
      <w:r w:rsidRPr="006F4023">
        <w:t>Office of Water Science 2020. Environmental water tracers in environmental impact assessments for coal seam gas and large coal mining developments – factsheet. Prepared by the Office of Water Science for the Independent Expert Scientific Committee on Coal Seam Gas and Large Coal Mining Development, Canberra. Available [online]: www.iesc.environment.gov.au/publications/ environmental-water-tracers.</w:t>
      </w:r>
    </w:p>
    <w:p w14:paraId="0EF1FDE9" w14:textId="77777777" w:rsidR="00FC261A" w:rsidRPr="006F4023" w:rsidRDefault="00FC261A" w:rsidP="00FC261A">
      <w:pPr>
        <w:pStyle w:val="References"/>
      </w:pPr>
      <w:r w:rsidRPr="006F4023">
        <w:t xml:space="preserve">Pereira AJSC, </w:t>
      </w:r>
      <w:proofErr w:type="spellStart"/>
      <w:r w:rsidRPr="006F4023">
        <w:t>Godinho</w:t>
      </w:r>
      <w:proofErr w:type="spellEnd"/>
      <w:r w:rsidRPr="006F4023">
        <w:t xml:space="preserve"> MM and Neves LJPF 2010. On the influence of faulting on small-scale soil-gas radon variability: a case study in the Iberian Uranium Province. </w:t>
      </w:r>
      <w:r w:rsidRPr="006F4023">
        <w:rPr>
          <w:i/>
        </w:rPr>
        <w:t>Environmental Radioactivity</w:t>
      </w:r>
      <w:r w:rsidRPr="006F4023">
        <w:t>, 101: 875-822.</w:t>
      </w:r>
    </w:p>
    <w:p w14:paraId="2BBD8215" w14:textId="715376CD" w:rsidR="00EF6C33" w:rsidRPr="006F4023" w:rsidRDefault="00EF6C33">
      <w:pPr>
        <w:pStyle w:val="References"/>
      </w:pPr>
      <w:r w:rsidRPr="006F4023">
        <w:t>Reynolds R.G., 1977 “Coal Mining Under Stored Waters” Report to the Minister of Public Works on an Inquiry into Coal Mining under or in vicinity of the stored waters of the Nepean, Avon, Cordeaux, Cataract and Woronora Reservoirs, New South Wales, Australia.</w:t>
      </w:r>
    </w:p>
    <w:p w14:paraId="59C05C4C" w14:textId="34A4328F" w:rsidR="00DA7380" w:rsidRPr="0038473D" w:rsidRDefault="00DA7380" w:rsidP="00FC261A">
      <w:pPr>
        <w:pStyle w:val="References"/>
      </w:pPr>
      <w:r w:rsidRPr="006F4023">
        <w:t xml:space="preserve">Schlumberger 2020. </w:t>
      </w:r>
      <w:hyperlink r:id="rId63" w:history="1">
        <w:r w:rsidRPr="0038473D">
          <w:rPr>
            <w:rStyle w:val="Hyperlink"/>
          </w:rPr>
          <w:t>https://www.software.slb.com/products/eclipse</w:t>
        </w:r>
      </w:hyperlink>
      <w:r w:rsidRPr="006F4023">
        <w:t>, accessed November 2020.</w:t>
      </w:r>
    </w:p>
    <w:p w14:paraId="74A68F22" w14:textId="77777777" w:rsidR="00FC261A" w:rsidRPr="006F4023" w:rsidRDefault="00FC261A" w:rsidP="00FC261A">
      <w:pPr>
        <w:pStyle w:val="References"/>
      </w:pPr>
      <w:r w:rsidRPr="0038473D">
        <w:t>Schultz RA and Fossen H 2002. Displacement-length scaling in three dimension</w:t>
      </w:r>
      <w:r w:rsidRPr="006F4023">
        <w:t>s: the importance of aspect ratio and application to deformation bands.</w:t>
      </w:r>
      <w:r w:rsidRPr="006F4023" w:rsidDel="002D64A5">
        <w:t xml:space="preserve">, </w:t>
      </w:r>
      <w:r w:rsidRPr="006F4023" w:rsidDel="002D64A5">
        <w:rPr>
          <w:i/>
        </w:rPr>
        <w:t>Journal of</w:t>
      </w:r>
      <w:r w:rsidRPr="006F4023">
        <w:rPr>
          <w:i/>
        </w:rPr>
        <w:t xml:space="preserve"> Structural Geology</w:t>
      </w:r>
      <w:r w:rsidRPr="006F4023">
        <w:t>,</w:t>
      </w:r>
      <w:r w:rsidRPr="006F4023" w:rsidDel="002D64A5">
        <w:t xml:space="preserve"> </w:t>
      </w:r>
      <w:r w:rsidRPr="006F4023">
        <w:t>24: 1389-1411.</w:t>
      </w:r>
    </w:p>
    <w:p w14:paraId="34CE1419" w14:textId="77777777" w:rsidR="00FC261A" w:rsidRPr="006F4023" w:rsidRDefault="00FC261A" w:rsidP="00FC261A">
      <w:pPr>
        <w:pStyle w:val="References"/>
      </w:pPr>
      <w:r w:rsidRPr="006F4023">
        <w:t xml:space="preserve">Schultz RA and Fossen H 2008. Terminology for structural discontinuities. </w:t>
      </w:r>
      <w:r w:rsidRPr="006F4023">
        <w:rPr>
          <w:i/>
          <w:iCs/>
        </w:rPr>
        <w:t>American Association of Petroleum Geologists Bulletin</w:t>
      </w:r>
      <w:r w:rsidRPr="006F4023">
        <w:t>, 92: 853-867.</w:t>
      </w:r>
    </w:p>
    <w:p w14:paraId="60E5C996" w14:textId="77777777" w:rsidR="00FC261A" w:rsidRPr="006F4023" w:rsidRDefault="00FC261A" w:rsidP="00FC261A">
      <w:pPr>
        <w:pStyle w:val="References"/>
      </w:pPr>
      <w:r w:rsidRPr="006F4023">
        <w:t xml:space="preserve">Schultz RA 2019. </w:t>
      </w:r>
      <w:r w:rsidRPr="006F4023">
        <w:rPr>
          <w:i/>
          <w:iCs/>
        </w:rPr>
        <w:t>Geologic Fracture Mechanics</w:t>
      </w:r>
      <w:r w:rsidRPr="006F4023">
        <w:t>, Cambridge University Press, Cambridge, United Kingdom.</w:t>
      </w:r>
    </w:p>
    <w:p w14:paraId="6A737CC5" w14:textId="77777777" w:rsidR="00FC261A" w:rsidRPr="006F4023" w:rsidRDefault="00FC261A" w:rsidP="00FC261A">
      <w:pPr>
        <w:pStyle w:val="References"/>
      </w:pPr>
      <w:proofErr w:type="spellStart"/>
      <w:r w:rsidRPr="006F4023">
        <w:lastRenderedPageBreak/>
        <w:t>Scibek</w:t>
      </w:r>
      <w:proofErr w:type="spellEnd"/>
      <w:r w:rsidRPr="006F4023">
        <w:t xml:space="preserve"> J, Gleeson T and </w:t>
      </w:r>
      <w:proofErr w:type="spellStart"/>
      <w:r w:rsidRPr="006F4023">
        <w:t>Mckenzie</w:t>
      </w:r>
      <w:proofErr w:type="spellEnd"/>
      <w:r w:rsidRPr="006F4023">
        <w:t xml:space="preserve"> JM 2016. The biases and trends in fault zone hydrogeology conceptual models: global compilation and categorical data analysis. </w:t>
      </w:r>
      <w:r w:rsidRPr="006F4023">
        <w:rPr>
          <w:i/>
        </w:rPr>
        <w:t>Geofluids</w:t>
      </w:r>
      <w:r w:rsidRPr="006F4023">
        <w:t>, 6: 782-798.</w:t>
      </w:r>
    </w:p>
    <w:p w14:paraId="6B868661" w14:textId="75867B38" w:rsidR="00FC261A" w:rsidRPr="006F4023" w:rsidRDefault="00FC261A" w:rsidP="00FC261A">
      <w:pPr>
        <w:pStyle w:val="References"/>
      </w:pPr>
      <w:r w:rsidRPr="006F4023">
        <w:t xml:space="preserve">Shipton ZK, Roberts JJ, Comrie EL, Kremer Y, Lunn RJ and Caine JS 2019. Fault fictions: systematic biases in the conceptualization of fault zone architecture. </w:t>
      </w:r>
      <w:r w:rsidRPr="006F4023">
        <w:rPr>
          <w:i/>
        </w:rPr>
        <w:t>Geological Society, London, Special Publications</w:t>
      </w:r>
      <w:r w:rsidRPr="006F4023">
        <w:t>.</w:t>
      </w:r>
    </w:p>
    <w:p w14:paraId="22DE17E6" w14:textId="77777777" w:rsidR="00FC261A" w:rsidRPr="006F4023" w:rsidRDefault="00FC261A" w:rsidP="00FC261A">
      <w:pPr>
        <w:pStyle w:val="References"/>
      </w:pPr>
      <w:proofErr w:type="spellStart"/>
      <w:r w:rsidRPr="006F4023">
        <w:t>Sliwa</w:t>
      </w:r>
      <w:proofErr w:type="spellEnd"/>
      <w:r w:rsidRPr="006F4023">
        <w:t xml:space="preserve"> R, </w:t>
      </w:r>
      <w:proofErr w:type="spellStart"/>
      <w:r w:rsidRPr="006F4023">
        <w:t>Babaahmadi</w:t>
      </w:r>
      <w:proofErr w:type="spellEnd"/>
      <w:r w:rsidRPr="006F4023">
        <w:t xml:space="preserve"> A and </w:t>
      </w:r>
      <w:proofErr w:type="spellStart"/>
      <w:r w:rsidRPr="006F4023">
        <w:t>Esterle</w:t>
      </w:r>
      <w:proofErr w:type="spellEnd"/>
      <w:r w:rsidRPr="006F4023">
        <w:t xml:space="preserve"> J 2017. Structure Supermodel 2017 – </w:t>
      </w:r>
      <w:r w:rsidRPr="006F4023">
        <w:rPr>
          <w:i/>
          <w:iCs/>
        </w:rPr>
        <w:t>Fault characterisation in Permian to Jurassic Coal Measures, Bowen Basin Structural Geology 2017.</w:t>
      </w:r>
      <w:r w:rsidRPr="006F4023">
        <w:t xml:space="preserve"> ACARP Project C24032. </w:t>
      </w:r>
    </w:p>
    <w:p w14:paraId="3D479252" w14:textId="77777777" w:rsidR="00FC261A" w:rsidRPr="006F4023" w:rsidRDefault="00FC261A" w:rsidP="00FC261A">
      <w:pPr>
        <w:pStyle w:val="References"/>
      </w:pPr>
      <w:proofErr w:type="spellStart"/>
      <w:r w:rsidRPr="006F4023">
        <w:t>Sosio</w:t>
      </w:r>
      <w:proofErr w:type="spellEnd"/>
      <w:r w:rsidRPr="006F4023">
        <w:t xml:space="preserve"> de Rosa S, Shipton Z, Lunn R, Kremer Y and Murray T 2018. Along-strike fault core thickness variations of a fault in poorly lithified sediments, Miri (Malaysia).</w:t>
      </w:r>
      <w:r w:rsidRPr="006F4023">
        <w:rPr>
          <w:i/>
        </w:rPr>
        <w:t xml:space="preserve"> </w:t>
      </w:r>
      <w:r w:rsidRPr="006F4023" w:rsidDel="00D82F9F">
        <w:rPr>
          <w:i/>
        </w:rPr>
        <w:t xml:space="preserve">Journal of </w:t>
      </w:r>
      <w:r w:rsidRPr="006F4023">
        <w:rPr>
          <w:i/>
        </w:rPr>
        <w:t>Structural Geology</w:t>
      </w:r>
      <w:r w:rsidRPr="006F4023">
        <w:t>, 116: 189-206. doi.org/10.1016/j.jsg.2018.08.012.</w:t>
      </w:r>
    </w:p>
    <w:p w14:paraId="7DC51D5D" w14:textId="77777777" w:rsidR="00FC261A" w:rsidRPr="006F4023" w:rsidRDefault="00FC261A" w:rsidP="00FC261A">
      <w:pPr>
        <w:pStyle w:val="References"/>
      </w:pPr>
      <w:proofErr w:type="spellStart"/>
      <w:r w:rsidRPr="006F4023">
        <w:t>Sperrevik</w:t>
      </w:r>
      <w:proofErr w:type="spellEnd"/>
      <w:r w:rsidRPr="006F4023">
        <w:t xml:space="preserve"> S, Gillespie PA, Fisher QJ, Knipe RJ and Halvorsen T 2002. Empirical estimation of fault rock properties. In: Koestler, A.G., </w:t>
      </w:r>
      <w:proofErr w:type="spellStart"/>
      <w:r w:rsidRPr="006F4023">
        <w:t>Hunsdale</w:t>
      </w:r>
      <w:proofErr w:type="spellEnd"/>
      <w:r w:rsidRPr="006F4023">
        <w:t xml:space="preserve">, R. (Eds.), </w:t>
      </w:r>
      <w:r w:rsidRPr="006F4023">
        <w:rPr>
          <w:i/>
        </w:rPr>
        <w:t>Hydrocarbon Seal Quantification, Norwegian Petroleum Society (NPF), Special Publications</w:t>
      </w:r>
      <w:r w:rsidRPr="006F4023">
        <w:t>,</w:t>
      </w:r>
      <w:r w:rsidRPr="006F4023" w:rsidDel="00D82F9F">
        <w:t xml:space="preserve"> </w:t>
      </w:r>
      <w:r w:rsidRPr="006F4023">
        <w:t>11: 109-125.</w:t>
      </w:r>
    </w:p>
    <w:p w14:paraId="0E04873A" w14:textId="77777777" w:rsidR="00FC261A" w:rsidRPr="006F4023" w:rsidRDefault="00FC261A" w:rsidP="00FC261A">
      <w:pPr>
        <w:pStyle w:val="References"/>
      </w:pPr>
      <w:r w:rsidRPr="006F4023">
        <w:t xml:space="preserve">Sun X, Yan P, Xian </w:t>
      </w:r>
      <w:proofErr w:type="spellStart"/>
      <w:proofErr w:type="gramStart"/>
      <w:r w:rsidRPr="006F4023">
        <w:t>Y,Xueyun</w:t>
      </w:r>
      <w:proofErr w:type="spellEnd"/>
      <w:proofErr w:type="gramEnd"/>
      <w:r w:rsidRPr="006F4023">
        <w:t xml:space="preserve"> S, and </w:t>
      </w:r>
      <w:proofErr w:type="spellStart"/>
      <w:r w:rsidRPr="006F4023">
        <w:t>Dongying</w:t>
      </w:r>
      <w:proofErr w:type="spellEnd"/>
      <w:r w:rsidRPr="006F4023">
        <w:t xml:space="preserve"> L 2018. Across-fault distributions of radon concentrations in soil gas for different tectonic environments. </w:t>
      </w:r>
      <w:r w:rsidRPr="006F4023">
        <w:rPr>
          <w:i/>
        </w:rPr>
        <w:t>Geosciences</w:t>
      </w:r>
      <w:r w:rsidRPr="006F4023">
        <w:t>, 22: 227-239.</w:t>
      </w:r>
    </w:p>
    <w:p w14:paraId="53846174" w14:textId="77777777" w:rsidR="00EF6C33" w:rsidRPr="006F4023" w:rsidRDefault="00EF6C33" w:rsidP="00EF6C33">
      <w:pPr>
        <w:pStyle w:val="References"/>
        <w:rPr>
          <w:i/>
          <w:iCs/>
        </w:rPr>
      </w:pPr>
      <w:r w:rsidRPr="006F4023">
        <w:t xml:space="preserve">Timms WA., Acworth RI., Hartland A. and Laurence DC 2012. Leading practices for assessing the integrity of confining strata: application to mining and coal seam gas extraction: In: McCullough, CD, Lund MA, Wyse, L. </w:t>
      </w:r>
      <w:r w:rsidRPr="006F4023">
        <w:rPr>
          <w:i/>
          <w:iCs/>
        </w:rPr>
        <w:t xml:space="preserve">Proceedings of International Mine Water Association, September 29-October 4, 2012, Bunbury, Western Australia. Bunbury, Western Australia: International Mine Water Association. </w:t>
      </w:r>
    </w:p>
    <w:p w14:paraId="5EC47B15" w14:textId="77777777" w:rsidR="00BF3C48" w:rsidRPr="006F4023" w:rsidRDefault="00BF3C48" w:rsidP="00FC261A">
      <w:pPr>
        <w:pStyle w:val="References"/>
      </w:pPr>
      <w:proofErr w:type="spellStart"/>
      <w:r w:rsidRPr="006F4023">
        <w:t>Underschultz</w:t>
      </w:r>
      <w:proofErr w:type="spellEnd"/>
      <w:r w:rsidRPr="006F4023">
        <w:t xml:space="preserve"> J, </w:t>
      </w:r>
      <w:proofErr w:type="spellStart"/>
      <w:r w:rsidRPr="006F4023">
        <w:t>Esterle</w:t>
      </w:r>
      <w:proofErr w:type="spellEnd"/>
      <w:r w:rsidRPr="006F4023">
        <w:t xml:space="preserve"> J, Strand J and Hayes S 2018. Conceptual representation of fluid flow conditions associated with faults in sedimentary basins. Prepared for the Department of the Environment and Energy by The University of Queensland Centre for Coal Seam Gas, Queensland.</w:t>
      </w:r>
    </w:p>
    <w:p w14:paraId="32B2CB9E" w14:textId="77777777" w:rsidR="00FC261A" w:rsidRPr="006F4023" w:rsidRDefault="00FC261A" w:rsidP="00FC261A">
      <w:pPr>
        <w:pStyle w:val="References"/>
      </w:pPr>
      <w:proofErr w:type="spellStart"/>
      <w:r w:rsidRPr="006F4023">
        <w:t>Vrolijk</w:t>
      </w:r>
      <w:proofErr w:type="spellEnd"/>
      <w:r w:rsidRPr="006F4023">
        <w:t xml:space="preserve"> PJ, </w:t>
      </w:r>
      <w:proofErr w:type="spellStart"/>
      <w:r w:rsidRPr="006F4023">
        <w:t>Urai</w:t>
      </w:r>
      <w:proofErr w:type="spellEnd"/>
      <w:r w:rsidRPr="006F4023">
        <w:t xml:space="preserve"> JL and </w:t>
      </w:r>
      <w:proofErr w:type="spellStart"/>
      <w:r w:rsidRPr="006F4023">
        <w:t>Ketterman</w:t>
      </w:r>
      <w:proofErr w:type="spellEnd"/>
      <w:r w:rsidRPr="006F4023">
        <w:t xml:space="preserve"> M 2016. Clay smear: review of mechanisms and applications.</w:t>
      </w:r>
      <w:r w:rsidRPr="006F4023" w:rsidDel="00D82F9F">
        <w:t xml:space="preserve"> </w:t>
      </w:r>
      <w:r w:rsidRPr="006F4023" w:rsidDel="00D82F9F">
        <w:rPr>
          <w:i/>
        </w:rPr>
        <w:t>Journal of</w:t>
      </w:r>
      <w:r w:rsidRPr="006F4023">
        <w:rPr>
          <w:i/>
        </w:rPr>
        <w:t xml:space="preserve"> Structural Geology</w:t>
      </w:r>
      <w:r w:rsidRPr="006F4023">
        <w:t>, 86: 95-152.</w:t>
      </w:r>
    </w:p>
    <w:p w14:paraId="103A30F6" w14:textId="1A3457B7" w:rsidR="00A478FB" w:rsidRPr="0038473D" w:rsidRDefault="00A478FB" w:rsidP="00A478FB">
      <w:pPr>
        <w:pStyle w:val="References"/>
      </w:pPr>
      <w:r w:rsidRPr="006F4023">
        <w:t xml:space="preserve">Ward E, Sanford L, Plummer N, </w:t>
      </w:r>
      <w:proofErr w:type="spellStart"/>
      <w:r w:rsidRPr="006F4023">
        <w:t>Casile</w:t>
      </w:r>
      <w:proofErr w:type="spellEnd"/>
      <w:r w:rsidRPr="006F4023">
        <w:t xml:space="preserve"> G, </w:t>
      </w:r>
      <w:proofErr w:type="spellStart"/>
      <w:r w:rsidRPr="006F4023">
        <w:t>Busenberg</w:t>
      </w:r>
      <w:proofErr w:type="spellEnd"/>
      <w:r w:rsidRPr="006F4023">
        <w:t xml:space="preserve"> E, Nelms DL and Schlosser P 2017. Using dual</w:t>
      </w:r>
      <w:r w:rsidRPr="006F4023">
        <w:rPr>
          <w:rFonts w:ascii="Times New Roman" w:hAnsi="Times New Roman" w:cs="Times New Roman"/>
        </w:rPr>
        <w:t>‐</w:t>
      </w:r>
      <w:r w:rsidRPr="006F4023">
        <w:t>domain advective</w:t>
      </w:r>
      <w:r w:rsidRPr="006F4023">
        <w:rPr>
          <w:rFonts w:ascii="Times New Roman" w:hAnsi="Times New Roman" w:cs="Times New Roman"/>
        </w:rPr>
        <w:t>‐</w:t>
      </w:r>
      <w:r w:rsidRPr="006F4023">
        <w:t>transport simulation to reconcile multiple</w:t>
      </w:r>
      <w:r w:rsidRPr="006F4023">
        <w:rPr>
          <w:rFonts w:ascii="Times New Roman" w:hAnsi="Times New Roman" w:cs="Times New Roman"/>
        </w:rPr>
        <w:t>‐</w:t>
      </w:r>
      <w:r w:rsidRPr="006F4023">
        <w:t>tracer ages and estimate dual</w:t>
      </w:r>
      <w:r w:rsidRPr="006F4023">
        <w:rPr>
          <w:rFonts w:ascii="Times New Roman" w:hAnsi="Times New Roman" w:cs="Times New Roman"/>
        </w:rPr>
        <w:t>‐</w:t>
      </w:r>
      <w:r w:rsidRPr="006F4023">
        <w:t xml:space="preserve">porosity transport parameters. </w:t>
      </w:r>
      <w:r w:rsidRPr="006F4023">
        <w:rPr>
          <w:i/>
          <w:iCs/>
        </w:rPr>
        <w:t>Water Resources Research</w:t>
      </w:r>
      <w:r w:rsidRPr="006F4023">
        <w:t>, 53: 5002-5016.</w:t>
      </w:r>
      <w:hyperlink r:id="rId64" w:history="1">
        <w:r w:rsidRPr="0038473D">
          <w:t xml:space="preserve"> doi.org/10.1002/2016WR019469</w:t>
        </w:r>
      </w:hyperlink>
      <w:r w:rsidRPr="006F4023">
        <w:t>.</w:t>
      </w:r>
    </w:p>
    <w:p w14:paraId="23750890" w14:textId="77777777" w:rsidR="00FB6745" w:rsidRPr="006F4023" w:rsidRDefault="00FB6745" w:rsidP="00FB6745">
      <w:pPr>
        <w:pStyle w:val="References"/>
      </w:pPr>
      <w:r w:rsidRPr="0038473D">
        <w:t>Wang H, Ji</w:t>
      </w:r>
      <w:r w:rsidRPr="006F4023">
        <w:t xml:space="preserve">ang Y, </w:t>
      </w:r>
      <w:proofErr w:type="spellStart"/>
      <w:r w:rsidRPr="006F4023">
        <w:t>Xue</w:t>
      </w:r>
      <w:proofErr w:type="spellEnd"/>
      <w:r w:rsidRPr="006F4023">
        <w:t xml:space="preserve"> S, Mao L, Lin Z, Deng D and Zhang D 2016. Influence of fault slip on mining-induced pressure and optimization of roadway support design in fault-influenced zone. </w:t>
      </w:r>
      <w:r w:rsidRPr="006F4023">
        <w:rPr>
          <w:i/>
          <w:iCs/>
        </w:rPr>
        <w:t>Journal of Rock Mechanics and Geotechnical Engineering</w:t>
      </w:r>
      <w:r w:rsidRPr="006F4023">
        <w:t>, 8(5): 660-671. doi.org/10.1016/j.jrmge.2016.03.005.</w:t>
      </w:r>
    </w:p>
    <w:p w14:paraId="5BD642D2" w14:textId="77777777" w:rsidR="00333B52" w:rsidRPr="006F4023" w:rsidRDefault="00333B52" w:rsidP="00333B52">
      <w:pPr>
        <w:pStyle w:val="References"/>
      </w:pPr>
      <w:r w:rsidRPr="006F4023">
        <w:t>White JT, Hunt RJ, Doherty JE and Fienen MN 2020. PEST++ version 5, a parameter estimation and uncertainty analysis software suite optimized for large environmental models. U.S. Geological Survey Techniques and Methods Report, in press.</w:t>
      </w:r>
    </w:p>
    <w:p w14:paraId="45CE4935" w14:textId="6515D10F" w:rsidR="002E4FC5" w:rsidRPr="006F4023" w:rsidRDefault="002E4FC5" w:rsidP="002E4FC5">
      <w:pPr>
        <w:pStyle w:val="References"/>
      </w:pPr>
      <w:proofErr w:type="spellStart"/>
      <w:r w:rsidRPr="006F4023">
        <w:t>Zoorabadi</w:t>
      </w:r>
      <w:proofErr w:type="spellEnd"/>
      <w:r w:rsidRPr="006F4023">
        <w:t xml:space="preserve"> M, 2014. Hydraulic conductivity of jointed rock. PhD thesis, School of Mining Engineering, University of New South Wales. </w:t>
      </w:r>
      <w:hyperlink r:id="rId65" w:history="1">
        <w:r w:rsidRPr="0038473D">
          <w:rPr>
            <w:rStyle w:val="Hyperlink"/>
          </w:rPr>
          <w:t>http://unsworks.unsw.edu.au/fapi/datastream/unsworks:12891/SOURCE02?view=true</w:t>
        </w:r>
      </w:hyperlink>
    </w:p>
    <w:p w14:paraId="15DB44B5" w14:textId="77777777" w:rsidR="00FC261A" w:rsidRPr="006F4023" w:rsidRDefault="00FC261A" w:rsidP="007153F1">
      <w:pPr>
        <w:pStyle w:val="References"/>
        <w:rPr>
          <w:b/>
          <w:noProof/>
          <w:lang w:eastAsia="en-AU"/>
        </w:rPr>
      </w:pPr>
      <w:proofErr w:type="spellStart"/>
      <w:r w:rsidRPr="0038473D">
        <w:t>Zoorabadi</w:t>
      </w:r>
      <w:proofErr w:type="spellEnd"/>
      <w:r w:rsidRPr="0038473D">
        <w:t xml:space="preserve"> M, </w:t>
      </w:r>
      <w:proofErr w:type="spellStart"/>
      <w:r w:rsidRPr="0038473D">
        <w:t>Saydam</w:t>
      </w:r>
      <w:proofErr w:type="spellEnd"/>
      <w:r w:rsidRPr="0038473D">
        <w:t xml:space="preserve"> S, Timms WA and </w:t>
      </w:r>
      <w:proofErr w:type="spellStart"/>
      <w:r w:rsidRPr="0038473D">
        <w:t>Hebblewhite</w:t>
      </w:r>
      <w:proofErr w:type="spellEnd"/>
      <w:r w:rsidRPr="0038473D">
        <w:t xml:space="preserve"> B 2015. Non-linear flow behaviour of rough fractures having standard JRC profiles.</w:t>
      </w:r>
      <w:r w:rsidRPr="006F4023" w:rsidDel="00D82F9F">
        <w:t xml:space="preserve">, </w:t>
      </w:r>
      <w:r w:rsidRPr="006F4023" w:rsidDel="00D82F9F">
        <w:rPr>
          <w:i/>
        </w:rPr>
        <w:t>International Journal of</w:t>
      </w:r>
      <w:r w:rsidRPr="006F4023">
        <w:rPr>
          <w:i/>
        </w:rPr>
        <w:t xml:space="preserve"> Rock Mechanics and Mining Sciences</w:t>
      </w:r>
      <w:r w:rsidRPr="006F4023">
        <w:t>, 76: 192-199.</w:t>
      </w:r>
    </w:p>
    <w:p w14:paraId="605E8B81" w14:textId="543367C2" w:rsidR="00741420" w:rsidRPr="006F4023" w:rsidRDefault="00192D54" w:rsidP="00FB076C">
      <w:pPr>
        <w:pStyle w:val="Heading1Numbered"/>
      </w:pPr>
      <w:r w:rsidRPr="006F4023">
        <w:br w:type="page"/>
      </w:r>
      <w:bookmarkStart w:id="436" w:name="_Toc66967217"/>
      <w:r w:rsidR="00FB076C" w:rsidRPr="006F4023">
        <w:lastRenderedPageBreak/>
        <w:t>Appendi</w:t>
      </w:r>
      <w:r w:rsidR="00741420" w:rsidRPr="006F4023">
        <w:t>ces</w:t>
      </w:r>
      <w:bookmarkEnd w:id="436"/>
      <w:r w:rsidR="00FB076C" w:rsidRPr="006F4023">
        <w:t xml:space="preserve"> </w:t>
      </w:r>
    </w:p>
    <w:p w14:paraId="53204E2C" w14:textId="2D374FDA" w:rsidR="00741420" w:rsidRPr="006F4023" w:rsidRDefault="00741420" w:rsidP="00741420">
      <w:r w:rsidRPr="006F4023">
        <w:t>Example Scenarios</w:t>
      </w:r>
    </w:p>
    <w:p w14:paraId="7C059D8B" w14:textId="70B1792F" w:rsidR="00741420" w:rsidRPr="002A7BAB" w:rsidRDefault="00804E12" w:rsidP="00C167F0">
      <w:pPr>
        <w:pStyle w:val="Bullet1"/>
        <w:numPr>
          <w:ilvl w:val="0"/>
          <w:numId w:val="48"/>
        </w:numPr>
        <w:rPr>
          <w:lang w:val="en-AU"/>
        </w:rPr>
      </w:pPr>
      <w:r w:rsidRPr="002A7BAB">
        <w:rPr>
          <w:lang w:val="en-AU"/>
        </w:rPr>
        <w:t>Scenario A-1: There are no faults.</w:t>
      </w:r>
    </w:p>
    <w:p w14:paraId="0DB5291D" w14:textId="53CECEAE" w:rsidR="00804E12" w:rsidRPr="002A7BAB" w:rsidRDefault="00804E12" w:rsidP="00C167F0">
      <w:pPr>
        <w:pStyle w:val="Bullet1"/>
        <w:numPr>
          <w:ilvl w:val="0"/>
          <w:numId w:val="48"/>
        </w:numPr>
        <w:rPr>
          <w:lang w:val="en-AU"/>
        </w:rPr>
      </w:pPr>
      <w:r w:rsidRPr="002A7BAB">
        <w:rPr>
          <w:lang w:val="en-AU"/>
        </w:rPr>
        <w:t>Scenario A-2: A regional aquitard that is not compromised by faults, isolates the groundwater asset from the coal seam or excavation.</w:t>
      </w:r>
    </w:p>
    <w:p w14:paraId="24546F2A" w14:textId="0628126C" w:rsidR="00804E12" w:rsidRPr="002A7BAB" w:rsidRDefault="00804E12" w:rsidP="00C167F0">
      <w:pPr>
        <w:pStyle w:val="Bullet1"/>
        <w:numPr>
          <w:ilvl w:val="0"/>
          <w:numId w:val="48"/>
        </w:numPr>
        <w:rPr>
          <w:lang w:val="en-AU"/>
        </w:rPr>
      </w:pPr>
      <w:r w:rsidRPr="002A7BAB">
        <w:rPr>
          <w:lang w:val="en-AU"/>
        </w:rPr>
        <w:t>Scenario B: Cases where faults are potentially important within aquifers.</w:t>
      </w:r>
    </w:p>
    <w:p w14:paraId="41F34326" w14:textId="3D43D8E2" w:rsidR="00804E12" w:rsidRPr="002A7BAB" w:rsidRDefault="00804E12" w:rsidP="00C167F0">
      <w:pPr>
        <w:pStyle w:val="Bullet1"/>
        <w:numPr>
          <w:ilvl w:val="0"/>
          <w:numId w:val="48"/>
        </w:numPr>
        <w:rPr>
          <w:lang w:val="en-AU"/>
        </w:rPr>
      </w:pPr>
      <w:r w:rsidRPr="002A7BAB">
        <w:rPr>
          <w:lang w:val="en-AU"/>
        </w:rPr>
        <w:t>Scenario C: Cases where faults are potentially important within aquifer-aquitard systems</w:t>
      </w:r>
    </w:p>
    <w:p w14:paraId="70071C77" w14:textId="47A6F1C8" w:rsidR="00804E12" w:rsidRPr="002A7BAB" w:rsidRDefault="00804E12" w:rsidP="00C167F0">
      <w:pPr>
        <w:pStyle w:val="Bullet1"/>
        <w:numPr>
          <w:ilvl w:val="0"/>
          <w:numId w:val="48"/>
        </w:numPr>
        <w:rPr>
          <w:lang w:val="en-AU"/>
        </w:rPr>
      </w:pPr>
      <w:r w:rsidRPr="002A7BAB">
        <w:rPr>
          <w:lang w:val="en-AU"/>
        </w:rPr>
        <w:t>Scenario D: Differential subsidence or stresses reactivating faults.</w:t>
      </w:r>
    </w:p>
    <w:p w14:paraId="6D8B95B7" w14:textId="6E4C3120" w:rsidR="00741420" w:rsidRPr="0038473D" w:rsidRDefault="00741420">
      <w:pPr>
        <w:rPr>
          <w:rFonts w:eastAsiaTheme="majorEastAsia" w:cstheme="majorBidi"/>
          <w:color w:val="2F5496" w:themeColor="accent1" w:themeShade="BF"/>
          <w:sz w:val="52"/>
          <w:szCs w:val="32"/>
        </w:rPr>
      </w:pPr>
      <w:r w:rsidRPr="006F4023">
        <w:br w:type="page"/>
      </w:r>
    </w:p>
    <w:p w14:paraId="16A8A16C" w14:textId="5C902B28" w:rsidR="00741420" w:rsidRPr="006F4023" w:rsidRDefault="00741420" w:rsidP="00FB076C">
      <w:pPr>
        <w:pStyle w:val="Heading1Numbered"/>
      </w:pPr>
      <w:bookmarkStart w:id="437" w:name="_Toc66967218"/>
      <w:r w:rsidRPr="0038473D">
        <w:lastRenderedPageBreak/>
        <w:t xml:space="preserve">Example </w:t>
      </w:r>
      <w:r w:rsidRPr="006F4023">
        <w:t>Scenario A-1</w:t>
      </w:r>
      <w:r w:rsidRPr="006F4023">
        <w:br/>
        <w:t>There are no faults</w:t>
      </w:r>
      <w:bookmarkEnd w:id="437"/>
    </w:p>
    <w:p w14:paraId="0BE51450" w14:textId="5F8BCEFF" w:rsidR="00B8334E" w:rsidRPr="006F4023" w:rsidRDefault="00B8334E" w:rsidP="00B8334E">
      <w:pPr>
        <w:pStyle w:val="Heading3"/>
      </w:pPr>
      <w:bookmarkStart w:id="438" w:name="_Toc42765102"/>
      <w:bookmarkStart w:id="439" w:name="_Toc66967219"/>
      <w:r w:rsidRPr="006F4023">
        <w:t>Initial risk profile given geology and groundwater conditions</w:t>
      </w:r>
      <w:bookmarkEnd w:id="438"/>
      <w:bookmarkEnd w:id="439"/>
    </w:p>
    <w:p w14:paraId="6E48EB52" w14:textId="77777777" w:rsidR="00B8334E" w:rsidRPr="006F4023" w:rsidRDefault="00B8334E" w:rsidP="00B8334E">
      <w:pPr>
        <w:pStyle w:val="06DOTPOINTS"/>
        <w:numPr>
          <w:ilvl w:val="0"/>
          <w:numId w:val="6"/>
        </w:numPr>
        <w:spacing w:line="240" w:lineRule="auto"/>
        <w:rPr>
          <w:rFonts w:ascii="Garamond" w:hAnsi="Garamond"/>
        </w:rPr>
      </w:pPr>
      <w:r w:rsidRPr="006F4023">
        <w:rPr>
          <w:rFonts w:ascii="Garamond" w:hAnsi="Garamond"/>
        </w:rPr>
        <w:t>There are either few faults or no faults with negligible displacement/throw, and thus no significant fault-related flow pathways.</w:t>
      </w:r>
    </w:p>
    <w:p w14:paraId="7E7893B5" w14:textId="77777777" w:rsidR="00B8334E" w:rsidRPr="006F4023" w:rsidRDefault="00B8334E" w:rsidP="00B8334E">
      <w:pPr>
        <w:pStyle w:val="Heading3"/>
      </w:pPr>
      <w:bookmarkStart w:id="440" w:name="_Toc42765104"/>
      <w:bookmarkStart w:id="441" w:name="_Toc66967220"/>
      <w:r w:rsidRPr="006F4023">
        <w:t>Site-based evidence</w:t>
      </w:r>
      <w:bookmarkEnd w:id="440"/>
      <w:bookmarkEnd w:id="441"/>
    </w:p>
    <w:p w14:paraId="72C78EBF" w14:textId="00E80417" w:rsidR="00B8334E" w:rsidRPr="006F4023" w:rsidRDefault="00B8334E" w:rsidP="00B8334E">
      <w:pPr>
        <w:pStyle w:val="06DOTPOINTS"/>
        <w:numPr>
          <w:ilvl w:val="0"/>
          <w:numId w:val="6"/>
        </w:numPr>
        <w:spacing w:line="240" w:lineRule="auto"/>
        <w:rPr>
          <w:rFonts w:ascii="Garamond" w:hAnsi="Garamond"/>
        </w:rPr>
      </w:pPr>
      <w:r w:rsidRPr="006F4023">
        <w:rPr>
          <w:rFonts w:ascii="Garamond" w:hAnsi="Garamond"/>
        </w:rPr>
        <w:t>Documentation of relatively flat-laying or undeformed stratigraphy.</w:t>
      </w:r>
    </w:p>
    <w:p w14:paraId="6CBC294C" w14:textId="77777777" w:rsidR="00B8334E" w:rsidRPr="006F4023" w:rsidRDefault="00B8334E" w:rsidP="00B8334E">
      <w:pPr>
        <w:pStyle w:val="06DOTPOINTS"/>
        <w:numPr>
          <w:ilvl w:val="0"/>
          <w:numId w:val="6"/>
        </w:numPr>
        <w:spacing w:line="240" w:lineRule="auto"/>
        <w:rPr>
          <w:rFonts w:ascii="Garamond" w:hAnsi="Garamond"/>
        </w:rPr>
      </w:pPr>
      <w:r w:rsidRPr="006F4023">
        <w:rPr>
          <w:rFonts w:ascii="Garamond" w:hAnsi="Garamond"/>
        </w:rPr>
        <w:t>Development and presentation of a regional geological model as a series of cross sections that include the target coal seams and illustrate the general lack of faults in the region.</w:t>
      </w:r>
    </w:p>
    <w:p w14:paraId="098948D1" w14:textId="15A30480" w:rsidR="00B8334E" w:rsidRPr="006F4023" w:rsidRDefault="00B8334E" w:rsidP="00B8334E">
      <w:pPr>
        <w:pStyle w:val="06DOTPOINTS"/>
        <w:numPr>
          <w:ilvl w:val="0"/>
          <w:numId w:val="6"/>
        </w:numPr>
        <w:spacing w:line="240" w:lineRule="auto"/>
        <w:rPr>
          <w:rFonts w:ascii="Garamond" w:hAnsi="Garamond"/>
        </w:rPr>
      </w:pPr>
      <w:r w:rsidRPr="006F4023">
        <w:rPr>
          <w:rFonts w:ascii="Garamond" w:hAnsi="Garamond"/>
        </w:rPr>
        <w:t xml:space="preserve">Analysis and presentation of geologic illustrations indicating that the system is relatively </w:t>
      </w:r>
      <w:proofErr w:type="gramStart"/>
      <w:r w:rsidRPr="006F4023">
        <w:rPr>
          <w:rFonts w:ascii="Garamond" w:hAnsi="Garamond"/>
        </w:rPr>
        <w:t>flat-laying</w:t>
      </w:r>
      <w:proofErr w:type="gramEnd"/>
      <w:r w:rsidRPr="006F4023">
        <w:rPr>
          <w:rFonts w:ascii="Garamond" w:hAnsi="Garamond"/>
        </w:rPr>
        <w:t>, for example structure contour maps or cross sections that are constrained by interpreted seismic data, extensive drilling data or other data.</w:t>
      </w:r>
    </w:p>
    <w:p w14:paraId="72BB254E" w14:textId="77777777" w:rsidR="00B8334E" w:rsidRPr="006F4023" w:rsidRDefault="00B8334E" w:rsidP="00B8334E">
      <w:pPr>
        <w:pStyle w:val="06DOTPOINTS"/>
        <w:numPr>
          <w:ilvl w:val="0"/>
          <w:numId w:val="6"/>
        </w:numPr>
        <w:spacing w:line="240" w:lineRule="auto"/>
        <w:rPr>
          <w:rFonts w:ascii="Garamond" w:hAnsi="Garamond"/>
        </w:rPr>
      </w:pPr>
      <w:r w:rsidRPr="006F4023">
        <w:rPr>
          <w:rFonts w:ascii="Garamond" w:hAnsi="Garamond"/>
        </w:rPr>
        <w:t>Analysis of gravity and/or magnetics data to illustrate that there are no basement faults.</w:t>
      </w:r>
    </w:p>
    <w:p w14:paraId="1093280F" w14:textId="77777777" w:rsidR="00B8334E" w:rsidRPr="006F4023" w:rsidRDefault="00B8334E" w:rsidP="00B8334E">
      <w:pPr>
        <w:pStyle w:val="06DOTPOINTS"/>
        <w:numPr>
          <w:ilvl w:val="0"/>
          <w:numId w:val="6"/>
        </w:numPr>
        <w:spacing w:line="240" w:lineRule="auto"/>
        <w:rPr>
          <w:rFonts w:ascii="Garamond" w:hAnsi="Garamond"/>
        </w:rPr>
      </w:pPr>
      <w:r w:rsidRPr="006F4023">
        <w:rPr>
          <w:rFonts w:ascii="Garamond" w:hAnsi="Garamond"/>
        </w:rPr>
        <w:t>Analysis of geophysical surveys, such as AEM and/or seismic, to demonstrate there are no faults in the study area.</w:t>
      </w:r>
    </w:p>
    <w:p w14:paraId="787491B3" w14:textId="77777777" w:rsidR="00B8334E" w:rsidRPr="006F4023" w:rsidRDefault="00B8334E" w:rsidP="00B8334E">
      <w:pPr>
        <w:pStyle w:val="Heading3"/>
      </w:pPr>
      <w:bookmarkStart w:id="442" w:name="_Toc42765105"/>
      <w:bookmarkStart w:id="443" w:name="_Toc66967221"/>
      <w:r w:rsidRPr="006F4023">
        <w:t>Characterisation of uncertainty</w:t>
      </w:r>
      <w:bookmarkEnd w:id="442"/>
      <w:r w:rsidRPr="006F4023">
        <w:t xml:space="preserve"> required for risk assessment in this context</w:t>
      </w:r>
      <w:bookmarkEnd w:id="443"/>
    </w:p>
    <w:p w14:paraId="2B068075" w14:textId="77777777" w:rsidR="00B8334E" w:rsidRPr="006F4023" w:rsidRDefault="00B8334E" w:rsidP="00B8334E">
      <w:pPr>
        <w:pStyle w:val="06DOTPOINTS"/>
        <w:numPr>
          <w:ilvl w:val="0"/>
          <w:numId w:val="6"/>
        </w:numPr>
        <w:spacing w:line="240" w:lineRule="auto"/>
        <w:rPr>
          <w:rFonts w:ascii="Garamond" w:hAnsi="Garamond"/>
        </w:rPr>
      </w:pPr>
      <w:r w:rsidRPr="006F4023">
        <w:rPr>
          <w:rFonts w:ascii="Garamond" w:hAnsi="Garamond"/>
        </w:rPr>
        <w:t>In this circumstance, uncertainty characterisation is concerned only with the confidence that there is an absence of faults, rather than the disposition of the fault. Assess the possibility or likelihood that faults are present but could not be observed or inferred with the existing data.</w:t>
      </w:r>
    </w:p>
    <w:p w14:paraId="337AC8DE" w14:textId="77777777" w:rsidR="00B8334E" w:rsidRPr="006F4023" w:rsidRDefault="00B8334E" w:rsidP="00B8334E">
      <w:pPr>
        <w:pStyle w:val="06DOTPOINTS"/>
        <w:numPr>
          <w:ilvl w:val="0"/>
          <w:numId w:val="6"/>
        </w:numPr>
        <w:spacing w:line="240" w:lineRule="auto"/>
        <w:rPr>
          <w:rFonts w:ascii="Garamond" w:hAnsi="Garamond"/>
        </w:rPr>
      </w:pPr>
      <w:r w:rsidRPr="006F4023">
        <w:rPr>
          <w:rFonts w:ascii="Garamond" w:hAnsi="Garamond"/>
        </w:rPr>
        <w:t xml:space="preserve">If there is some possibility that faults which have not been observed or inferred are </w:t>
      </w:r>
      <w:proofErr w:type="gramStart"/>
      <w:r w:rsidRPr="006F4023">
        <w:rPr>
          <w:rFonts w:ascii="Garamond" w:hAnsi="Garamond"/>
        </w:rPr>
        <w:t>actually present</w:t>
      </w:r>
      <w:proofErr w:type="gramEnd"/>
      <w:r w:rsidRPr="006F4023">
        <w:rPr>
          <w:rFonts w:ascii="Garamond" w:hAnsi="Garamond"/>
        </w:rPr>
        <w:t>, then one of the following scenarios can be used to estimate the probability of critical fault behaviour.</w:t>
      </w:r>
    </w:p>
    <w:p w14:paraId="0878C79D" w14:textId="77777777" w:rsidR="00B8334E" w:rsidRPr="006F4023" w:rsidRDefault="00B8334E" w:rsidP="00B8334E">
      <w:pPr>
        <w:pStyle w:val="Heading3"/>
      </w:pPr>
      <w:bookmarkStart w:id="444" w:name="_Toc42765106"/>
      <w:bookmarkStart w:id="445" w:name="_Toc66967222"/>
      <w:r w:rsidRPr="006F4023">
        <w:t>Fault-related risk assessment – potential repercussions of the fault</w:t>
      </w:r>
      <w:bookmarkEnd w:id="444"/>
      <w:bookmarkEnd w:id="445"/>
    </w:p>
    <w:p w14:paraId="1C8E9925" w14:textId="77777777" w:rsidR="00B8334E" w:rsidRPr="006F4023" w:rsidRDefault="00B8334E" w:rsidP="00B8334E">
      <w:pPr>
        <w:pStyle w:val="06DOTPOINTS"/>
        <w:numPr>
          <w:ilvl w:val="0"/>
          <w:numId w:val="6"/>
        </w:numPr>
        <w:spacing w:line="240" w:lineRule="auto"/>
        <w:rPr>
          <w:rFonts w:ascii="Garamond" w:hAnsi="Garamond"/>
        </w:rPr>
      </w:pPr>
      <w:r w:rsidRPr="006F4023">
        <w:rPr>
          <w:rFonts w:ascii="Garamond" w:hAnsi="Garamond"/>
        </w:rPr>
        <w:t>Not required because there is an absence of faults thus the risk of fault-related groundwater flow does not exist.</w:t>
      </w:r>
    </w:p>
    <w:p w14:paraId="21D47A5F" w14:textId="77777777" w:rsidR="00741420" w:rsidRPr="006F4023" w:rsidRDefault="00741420" w:rsidP="00741420"/>
    <w:p w14:paraId="452981A1" w14:textId="559FCB92" w:rsidR="00741420" w:rsidRPr="006F4023" w:rsidRDefault="00FB076C" w:rsidP="00741420">
      <w:pPr>
        <w:pStyle w:val="Heading1Numbered"/>
      </w:pPr>
      <w:r w:rsidRPr="006F4023">
        <w:br w:type="page"/>
      </w:r>
      <w:bookmarkStart w:id="446" w:name="_Toc66967223"/>
      <w:r w:rsidR="00741420" w:rsidRPr="006F4023">
        <w:lastRenderedPageBreak/>
        <w:t>Example Scenario A-2</w:t>
      </w:r>
      <w:r w:rsidR="00741420" w:rsidRPr="006F4023">
        <w:br/>
        <w:t>A regional aquitard that is not compromised by faults, isolates the groundwater asset from the coal seam or excavation</w:t>
      </w:r>
      <w:bookmarkEnd w:id="446"/>
    </w:p>
    <w:p w14:paraId="3EE163C0" w14:textId="77777777" w:rsidR="00445F7C" w:rsidRPr="006F4023" w:rsidRDefault="00445F7C" w:rsidP="00445F7C">
      <w:pPr>
        <w:pStyle w:val="Heading3"/>
      </w:pPr>
      <w:bookmarkStart w:id="447" w:name="_Toc42765110"/>
      <w:bookmarkStart w:id="448" w:name="_Toc66967224"/>
      <w:r w:rsidRPr="006F4023">
        <w:t>Initial risk profile given geology and groundwater conditions</w:t>
      </w:r>
      <w:bookmarkEnd w:id="447"/>
      <w:bookmarkEnd w:id="448"/>
    </w:p>
    <w:p w14:paraId="67BC8295" w14:textId="36FE49AC"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 xml:space="preserve">A regionally extensive aquitard with high integrity separates groundwater assets from the coal seam, extraction area, or excavation. For example, the coal measures are overlain by a regionally contiguous, fine grained unit interpreted to have formed in a deep marine or lacustrine setting. </w:t>
      </w:r>
    </w:p>
    <w:p w14:paraId="4E4CD3A0"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Vertical fault offset (throw) is less than the thickness of the aquitard and thus does not compromise the integrity of the aquitard.</w:t>
      </w:r>
    </w:p>
    <w:p w14:paraId="745F7E68"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 xml:space="preserve">Faults are therefore unlikely to form vertical flow pathways. </w:t>
      </w:r>
    </w:p>
    <w:p w14:paraId="0E816175" w14:textId="77777777" w:rsidR="00445F7C" w:rsidRPr="006F4023" w:rsidRDefault="00445F7C" w:rsidP="00445F7C">
      <w:pPr>
        <w:pStyle w:val="Heading3"/>
      </w:pPr>
      <w:bookmarkStart w:id="449" w:name="_Toc42765112"/>
      <w:bookmarkStart w:id="450" w:name="_Toc66967225"/>
      <w:r w:rsidRPr="006F4023">
        <w:t>Site based evidence</w:t>
      </w:r>
      <w:bookmarkEnd w:id="449"/>
      <w:bookmarkEnd w:id="450"/>
    </w:p>
    <w:p w14:paraId="14847AC8" w14:textId="7C83CD04"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Analysis and presentation of geological and hydrogeological evidence for a regionally extensive aquitard of high integrity that has not been compromised by any discrete flow pathways.</w:t>
      </w:r>
    </w:p>
    <w:p w14:paraId="396703C1" w14:textId="675D1041"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 xml:space="preserve">Documentation of data leading to the interpretation of the depositional environment of the aquitard and its lateral continuity. </w:t>
      </w:r>
    </w:p>
    <w:p w14:paraId="4007C653"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Presentation of a series of regional cross sections showing faulting and illustrating that it is geometrically and kinematically consistent.</w:t>
      </w:r>
    </w:p>
    <w:p w14:paraId="0550355F"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Analysis and presentation of fault statistics including length and throw ratios/distributions for the site and the region.</w:t>
      </w:r>
    </w:p>
    <w:p w14:paraId="711C4178"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Systematic analysis of fault displacement profiles.</w:t>
      </w:r>
    </w:p>
    <w:p w14:paraId="64088F21"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Presentation of structure contour maps for the top and base of the aquitard.</w:t>
      </w:r>
    </w:p>
    <w:p w14:paraId="3767CC9D"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Analysis and presentation of isopach maps of significant regional aquitards.</w:t>
      </w:r>
    </w:p>
    <w:p w14:paraId="242184E5" w14:textId="77777777" w:rsidR="00445F7C" w:rsidRPr="006F4023" w:rsidRDefault="00445F7C" w:rsidP="00445F7C">
      <w:pPr>
        <w:pStyle w:val="Heading3"/>
      </w:pPr>
      <w:bookmarkStart w:id="451" w:name="_Toc42765113"/>
      <w:bookmarkStart w:id="452" w:name="_Toc66967226"/>
      <w:r w:rsidRPr="006F4023">
        <w:t>Characterisation of uncertainty</w:t>
      </w:r>
      <w:bookmarkEnd w:id="451"/>
      <w:r w:rsidRPr="006F4023">
        <w:t xml:space="preserve"> required for risk assessment in this context</w:t>
      </w:r>
      <w:bookmarkEnd w:id="452"/>
    </w:p>
    <w:p w14:paraId="34F40136"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 xml:space="preserve">Stochastic analysis of aquitard thickness combined with fault length-throw. </w:t>
      </w:r>
    </w:p>
    <w:p w14:paraId="0FDF3B0E" w14:textId="19DB2F9D"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 xml:space="preserve">An assessment of the probability that the aquitard has/has not been breached, using a range of 1D, 2D and 3D techniques. </w:t>
      </w:r>
    </w:p>
    <w:p w14:paraId="01E931AD" w14:textId="433218F1"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Should a significant probability of this breach be shown then an uncertainty analysis based on Scenario</w:t>
      </w:r>
      <w:r w:rsidR="00B3012D" w:rsidRPr="006F4023">
        <w:rPr>
          <w:rFonts w:ascii="Garamond" w:hAnsi="Garamond"/>
        </w:rPr>
        <w:t xml:space="preserve"> </w:t>
      </w:r>
      <w:r w:rsidRPr="006F4023">
        <w:rPr>
          <w:rFonts w:ascii="Garamond" w:hAnsi="Garamond"/>
        </w:rPr>
        <w:t>C would be required.</w:t>
      </w:r>
    </w:p>
    <w:p w14:paraId="6A23660E" w14:textId="73F3AA4B" w:rsidR="00445F7C" w:rsidRPr="006F4023" w:rsidRDefault="00445F7C" w:rsidP="00445F7C">
      <w:pPr>
        <w:pStyle w:val="BodyText"/>
        <w:rPr>
          <w:lang w:val="en-AU"/>
        </w:rPr>
      </w:pPr>
      <w:r w:rsidRPr="006F4023">
        <w:rPr>
          <w:lang w:val="en-AU"/>
        </w:rPr>
        <w:t xml:space="preserve">In this scenario, an aquitard that is laterally extensive and of high integrity is thoroughly </w:t>
      </w:r>
      <w:r w:rsidR="00C4692C" w:rsidRPr="006F4023">
        <w:rPr>
          <w:lang w:val="en-AU"/>
        </w:rPr>
        <w:t>characterised</w:t>
      </w:r>
      <w:r w:rsidRPr="006F4023">
        <w:rPr>
          <w:lang w:val="en-AU"/>
        </w:rPr>
        <w:t xml:space="preserve">. It is important to </w:t>
      </w:r>
      <w:r w:rsidR="00B3012D" w:rsidRPr="006F4023">
        <w:rPr>
          <w:lang w:val="en-AU"/>
        </w:rPr>
        <w:t xml:space="preserve">characterise </w:t>
      </w:r>
      <w:r w:rsidRPr="006F4023">
        <w:rPr>
          <w:lang w:val="en-AU"/>
        </w:rPr>
        <w:t>the full spatial nature of the aquitard to ensure that there are no poor-quality aquifers and or fractured rocks within the aquitard. Presentation of a well constrained depositional model for the aquitard and detailed petrophysical observations of the mechanical and hydraulic properties at suitable scales of testing would be highly recommended as supporting data. It is particularly important to measure at core scale (</w:t>
      </w:r>
      <w:proofErr w:type="gramStart"/>
      <w:r w:rsidRPr="006F4023">
        <w:rPr>
          <w:lang w:val="en-AU"/>
        </w:rPr>
        <w:t>i.e.</w:t>
      </w:r>
      <w:proofErr w:type="gramEnd"/>
      <w:r w:rsidRPr="006F4023">
        <w:rPr>
          <w:lang w:val="en-AU"/>
        </w:rPr>
        <w:t xml:space="preserve"> evidence of low matrix permeability) and also at larger scales to determine if the aquitard is potentially leaky due to macropores and fractures. </w:t>
      </w:r>
    </w:p>
    <w:p w14:paraId="6B0F075E" w14:textId="77777777" w:rsidR="00445F7C" w:rsidRPr="006F4023" w:rsidRDefault="00445F7C" w:rsidP="00445F7C">
      <w:pPr>
        <w:pStyle w:val="BodyText"/>
        <w:rPr>
          <w:lang w:val="en-AU"/>
        </w:rPr>
      </w:pPr>
      <w:r w:rsidRPr="006F4023">
        <w:rPr>
          <w:lang w:val="en-AU"/>
        </w:rPr>
        <w:t>The aquitard needs to be documented using isopach maps which should include appropriate probabilistic thickness distribution maps (P10, P50, P90). A validation of the integrity of the aquitard can be included, for example, using water chemistry and tracer data to indicate whether the dominant transport mechanism within the aquitard is limited to diffusion (</w:t>
      </w:r>
      <w:proofErr w:type="gramStart"/>
      <w:r w:rsidRPr="006F4023">
        <w:rPr>
          <w:lang w:val="en-AU"/>
        </w:rPr>
        <w:t>i.e.</w:t>
      </w:r>
      <w:proofErr w:type="gramEnd"/>
      <w:r w:rsidRPr="006F4023">
        <w:rPr>
          <w:lang w:val="en-AU"/>
        </w:rPr>
        <w:t xml:space="preserve"> a chemical gradient) in the absence of significant groundwater flow. Also, tracer data may indicate a unique water chemistry in aquifers above and below an aquitard that is further evidence of an effective barrier to flow. </w:t>
      </w:r>
    </w:p>
    <w:p w14:paraId="3A9AA1A7" w14:textId="6CDD32B2" w:rsidR="00445F7C" w:rsidRPr="006F4023" w:rsidRDefault="00445F7C" w:rsidP="00445F7C">
      <w:pPr>
        <w:pStyle w:val="BodyText"/>
        <w:rPr>
          <w:lang w:val="en-AU"/>
        </w:rPr>
      </w:pPr>
      <w:r w:rsidRPr="006F4023">
        <w:rPr>
          <w:lang w:val="en-AU"/>
        </w:rPr>
        <w:t>Clear evidence of the character of any faulting (or evidence that faulting is not present) is essential. Ideally the key interpretations would be derived from high quality 3D seismic data, preferably depth converted. Faults</w:t>
      </w:r>
      <w:r w:rsidRPr="006F4023" w:rsidDel="006B63D9">
        <w:rPr>
          <w:lang w:val="en-AU"/>
        </w:rPr>
        <w:t xml:space="preserve"> </w:t>
      </w:r>
      <w:r w:rsidRPr="006F4023">
        <w:rPr>
          <w:lang w:val="en-AU"/>
        </w:rPr>
        <w:t xml:space="preserve">should be </w:t>
      </w:r>
      <w:r w:rsidRPr="006F4023">
        <w:rPr>
          <w:lang w:val="en-AU"/>
        </w:rPr>
        <w:lastRenderedPageBreak/>
        <w:t xml:space="preserve">documented </w:t>
      </w:r>
      <w:r w:rsidRPr="006F4023" w:rsidDel="006B63D9">
        <w:rPr>
          <w:lang w:val="en-AU"/>
        </w:rPr>
        <w:t xml:space="preserve">with </w:t>
      </w:r>
      <w:r w:rsidRPr="006F4023">
        <w:rPr>
          <w:lang w:val="en-AU"/>
        </w:rPr>
        <w:t xml:space="preserve">throw profiles for reflectors above </w:t>
      </w:r>
      <w:r w:rsidRPr="006F4023" w:rsidDel="00DE276D">
        <w:rPr>
          <w:lang w:val="en-AU"/>
        </w:rPr>
        <w:t xml:space="preserve">and </w:t>
      </w:r>
      <w:r w:rsidRPr="006F4023">
        <w:rPr>
          <w:lang w:val="en-AU"/>
        </w:rPr>
        <w:t xml:space="preserve">at </w:t>
      </w:r>
      <w:proofErr w:type="spellStart"/>
      <w:r w:rsidRPr="006F4023">
        <w:rPr>
          <w:lang w:val="en-AU"/>
        </w:rPr>
        <w:t>seam</w:t>
      </w:r>
      <w:proofErr w:type="spellEnd"/>
      <w:r w:rsidRPr="006F4023">
        <w:rPr>
          <w:lang w:val="en-AU"/>
        </w:rPr>
        <w:t xml:space="preserve"> level, and for the top of the aquitard. If possible, fault throw profiles for strata below the seam should also be provided. If the faults have relatively small throw it may be evident in the data that faults cannot be traced through the coal and upwards through the aquitard. </w:t>
      </w:r>
    </w:p>
    <w:p w14:paraId="59384AEC" w14:textId="77777777" w:rsidR="00445F7C" w:rsidRPr="006F4023" w:rsidRDefault="00445F7C" w:rsidP="00445F7C">
      <w:pPr>
        <w:pStyle w:val="BodyText"/>
        <w:rPr>
          <w:lang w:val="en-AU"/>
        </w:rPr>
      </w:pPr>
      <w:r w:rsidRPr="006F4023">
        <w:rPr>
          <w:lang w:val="en-AU"/>
        </w:rPr>
        <w:t>Distributions that describe the uncertainty of fault throw for the fault population should also be provided. These distributions should account for the vertical resolution of the seismic data, or the vertical resolution afforded by surface geological mapping or drilling.</w:t>
      </w:r>
    </w:p>
    <w:p w14:paraId="5F9F35F8" w14:textId="77777777" w:rsidR="00445F7C" w:rsidRPr="006F4023" w:rsidRDefault="00445F7C" w:rsidP="00445F7C">
      <w:pPr>
        <w:pStyle w:val="BodyText"/>
        <w:rPr>
          <w:lang w:val="en-AU"/>
        </w:rPr>
      </w:pPr>
      <w:r w:rsidRPr="006F4023">
        <w:rPr>
          <w:lang w:val="en-AU"/>
        </w:rPr>
        <w:t>Fault statistical data may be used to illustrate that the fault population has been adequately described. Provision of a fault length versus throw relationship, based on regional and prospect scale mapping is recommended. The definition of a</w:t>
      </w:r>
      <w:r w:rsidRPr="006F4023" w:rsidDel="00FA2583">
        <w:rPr>
          <w:lang w:val="en-AU"/>
        </w:rPr>
        <w:t xml:space="preserve"> </w:t>
      </w:r>
      <w:r w:rsidRPr="006F4023">
        <w:rPr>
          <w:lang w:val="en-AU"/>
        </w:rPr>
        <w:t xml:space="preserve">robust power-law population of faults may be used to show that the interpretation of the smaller displacement faults is reasonable. </w:t>
      </w:r>
      <w:r w:rsidRPr="006F4023" w:rsidDel="001F3DA5">
        <w:rPr>
          <w:lang w:val="en-AU"/>
        </w:rPr>
        <w:t xml:space="preserve">Using </w:t>
      </w:r>
      <w:r w:rsidRPr="006F4023">
        <w:rPr>
          <w:lang w:val="en-AU"/>
        </w:rPr>
        <w:t>fault statistics</w:t>
      </w:r>
      <w:r w:rsidRPr="006F4023" w:rsidDel="001F3DA5">
        <w:rPr>
          <w:lang w:val="en-AU"/>
        </w:rPr>
        <w:t xml:space="preserve"> </w:t>
      </w:r>
      <w:r w:rsidRPr="006F4023">
        <w:rPr>
          <w:lang w:val="en-AU"/>
        </w:rPr>
        <w:t>and seismic modelling it may be possible to illustrate that a fault of enough size to compromise the integrity of the aquitard would have to be seismically visible and or too large to fit within the development area.</w:t>
      </w:r>
    </w:p>
    <w:p w14:paraId="79E65D0E" w14:textId="77777777" w:rsidR="00445F7C" w:rsidRPr="006F4023" w:rsidRDefault="00445F7C" w:rsidP="00445F7C">
      <w:pPr>
        <w:pStyle w:val="BodyText"/>
        <w:rPr>
          <w:lang w:val="en-AU"/>
        </w:rPr>
      </w:pPr>
      <w:r w:rsidRPr="006F4023">
        <w:rPr>
          <w:lang w:val="en-AU"/>
        </w:rPr>
        <w:t xml:space="preserve">The assertion that the fault throw is consistently smaller than the aquitard thickness could be tested using stochastic modelling that simulates the effects of varying fault throws and aquitard thicknesses. The aquitard thickness estimates could come from a probabilistic isopach for the aquitard, and the fault throws could come from a fault population statistical model that fits the site data. </w:t>
      </w:r>
    </w:p>
    <w:p w14:paraId="158CECDB" w14:textId="77777777" w:rsidR="00445F7C" w:rsidRPr="006F4023" w:rsidRDefault="00445F7C" w:rsidP="00445F7C">
      <w:pPr>
        <w:pStyle w:val="Heading3"/>
      </w:pPr>
      <w:bookmarkStart w:id="453" w:name="_Toc66967227"/>
      <w:bookmarkStart w:id="454" w:name="_Toc42765114"/>
      <w:r w:rsidRPr="006F4023">
        <w:t>Fault-related risk assessment – potential repercussions of the fault</w:t>
      </w:r>
      <w:bookmarkEnd w:id="453"/>
    </w:p>
    <w:p w14:paraId="5A675052" w14:textId="77777777" w:rsidR="00445F7C" w:rsidRPr="006F4023" w:rsidRDefault="00445F7C" w:rsidP="00445F7C">
      <w:pPr>
        <w:pStyle w:val="BodyText"/>
        <w:rPr>
          <w:lang w:val="en-AU"/>
        </w:rPr>
      </w:pPr>
      <w:r w:rsidRPr="006F4023">
        <w:rPr>
          <w:lang w:val="en-AU"/>
        </w:rPr>
        <w:t xml:space="preserve">It is necessary to account for the possibility that the faults could breach the aquitard with enough throw to juxtapose the coal measures against the aquifer, across the faults. Uncertainty analysis for the fault throw and the aquitard thickness can be used to estimate a combined or derived probability for coal measures to aquifer juxtaposition. </w:t>
      </w:r>
    </w:p>
    <w:p w14:paraId="48812D8F" w14:textId="19137F9B" w:rsidR="00445F7C" w:rsidRPr="006F4023" w:rsidRDefault="00445F7C" w:rsidP="00445F7C">
      <w:pPr>
        <w:pStyle w:val="BodyText"/>
        <w:rPr>
          <w:lang w:val="en-AU"/>
        </w:rPr>
      </w:pPr>
      <w:r w:rsidRPr="006F4023">
        <w:rPr>
          <w:lang w:val="en-AU"/>
        </w:rPr>
        <w:t>For example, the aquitard thickness in the project area has been estimated as between about 95 and 125 m, depending on location, with thinner or smaller estimated thicknesses located in the north. This is clear from the isopach thicknesses</w:t>
      </w:r>
      <w:r w:rsidRPr="006F4023" w:rsidDel="00F64513">
        <w:rPr>
          <w:lang w:val="en-AU"/>
        </w:rPr>
        <w:t xml:space="preserve"> </w:t>
      </w:r>
      <w:r w:rsidRPr="006F4023">
        <w:rPr>
          <w:lang w:val="en-AU"/>
        </w:rPr>
        <w:t>(</w:t>
      </w:r>
      <w:r w:rsidR="00F50728" w:rsidRPr="0038473D">
        <w:rPr>
          <w:lang w:val="en-AU"/>
        </w:rPr>
        <w:fldChar w:fldCharType="begin"/>
      </w:r>
      <w:r w:rsidR="00F50728" w:rsidRPr="006F4023">
        <w:rPr>
          <w:lang w:val="en-AU"/>
        </w:rPr>
        <w:instrText xml:space="preserve"> REF _Ref57022227 \h </w:instrText>
      </w:r>
      <w:r w:rsidR="00F50728" w:rsidRPr="0038473D">
        <w:rPr>
          <w:lang w:val="en-AU"/>
        </w:rPr>
      </w:r>
      <w:r w:rsidR="00F50728" w:rsidRPr="0038473D">
        <w:rPr>
          <w:lang w:val="en-AU"/>
        </w:rPr>
        <w:fldChar w:fldCharType="separate"/>
      </w:r>
      <w:r w:rsidR="00047351" w:rsidRPr="0038473D">
        <w:t xml:space="preserve">Figure </w:t>
      </w:r>
      <w:r w:rsidR="00047351">
        <w:rPr>
          <w:noProof/>
        </w:rPr>
        <w:t>7</w:t>
      </w:r>
      <w:r w:rsidR="00F50728" w:rsidRPr="0038473D">
        <w:rPr>
          <w:lang w:val="en-AU"/>
        </w:rPr>
        <w:fldChar w:fldCharType="end"/>
      </w:r>
      <w:r w:rsidRPr="006F4023">
        <w:rPr>
          <w:lang w:val="en-AU"/>
        </w:rPr>
        <w:t xml:space="preserve">, parts c and e). </w:t>
      </w:r>
      <w:r w:rsidRPr="0038473D">
        <w:rPr>
          <w:lang w:val="en-AU"/>
        </w:rPr>
        <w:t>An uncertainty can be assigned based on the vertical resolution of the seismic reflection data, perhaps guided by subsurface drilling information and any relevant surface mapping data.</w:t>
      </w:r>
    </w:p>
    <w:p w14:paraId="1EBDA3A3" w14:textId="6FB62B6A" w:rsidR="00445F7C" w:rsidRPr="006F4023" w:rsidRDefault="00445F7C" w:rsidP="00445F7C">
      <w:pPr>
        <w:pStyle w:val="BodyText"/>
        <w:rPr>
          <w:lang w:val="en-AU"/>
        </w:rPr>
      </w:pPr>
      <w:r w:rsidRPr="006F4023">
        <w:rPr>
          <w:lang w:val="en-AU"/>
        </w:rPr>
        <w:t xml:space="preserve">A plot of fault throws versus fault length with a horizontal band showing the aquitard thickness and the thickness uncertainty is shown in </w:t>
      </w:r>
      <w:r w:rsidR="00C819FF" w:rsidRPr="006F4023">
        <w:rPr>
          <w:lang w:val="en-AU"/>
        </w:rPr>
        <w:t>Figure 6</w:t>
      </w:r>
      <w:r w:rsidRPr="006F4023">
        <w:rPr>
          <w:lang w:val="en-AU"/>
        </w:rPr>
        <w:t xml:space="preserve">, part f. This suggests that the chance of a coal seam to aquifer juxtaposition is nil to very small for faults F-1, F-2, F-3, F-4 and F-Bound. </w:t>
      </w:r>
    </w:p>
    <w:p w14:paraId="6C3B7223" w14:textId="5A2D8B11" w:rsidR="00445F7C" w:rsidRPr="006F4023" w:rsidRDefault="00445F7C" w:rsidP="00445F7C">
      <w:pPr>
        <w:pStyle w:val="BodyText"/>
        <w:rPr>
          <w:lang w:val="en-AU"/>
        </w:rPr>
      </w:pPr>
      <w:r w:rsidRPr="006F4023">
        <w:rPr>
          <w:lang w:val="en-AU"/>
        </w:rPr>
        <w:t>For rigour, on</w:t>
      </w:r>
      <w:r w:rsidR="00EE26F3" w:rsidRPr="006F4023">
        <w:rPr>
          <w:lang w:val="en-AU"/>
        </w:rPr>
        <w:t>e</w:t>
      </w:r>
      <w:r w:rsidRPr="006F4023">
        <w:rPr>
          <w:lang w:val="en-AU"/>
        </w:rPr>
        <w:t xml:space="preserve"> should assess the possibility of undetected or “missed” faults, by estimating the chances that a fault large enough to breach the aquitard could be hidden in the project area, immediately above the proposed development target. To make this assessment, we consider how large a fault could be if it were not detectable in the existing seismic data (</w:t>
      </w:r>
      <w:proofErr w:type="gramStart"/>
      <w:r w:rsidRPr="006F4023">
        <w:rPr>
          <w:lang w:val="en-AU"/>
        </w:rPr>
        <w:t>e.g.</w:t>
      </w:r>
      <w:proofErr w:type="gramEnd"/>
      <w:r w:rsidRPr="006F4023">
        <w:rPr>
          <w:lang w:val="en-AU"/>
        </w:rPr>
        <w:t xml:space="preserve"> with 10 – 20 m shallow 3D seismic fault resolution) or the detailed water and coal/gas resource definition drilling.</w:t>
      </w:r>
    </w:p>
    <w:p w14:paraId="3F96A552" w14:textId="20D2CD78" w:rsidR="00445F7C" w:rsidRPr="006F4023" w:rsidRDefault="00445F7C" w:rsidP="00445F7C">
      <w:pPr>
        <w:pStyle w:val="BodyText"/>
        <w:rPr>
          <w:lang w:val="en-AU"/>
        </w:rPr>
      </w:pPr>
      <w:r w:rsidRPr="006F4023">
        <w:rPr>
          <w:lang w:val="en-AU"/>
        </w:rPr>
        <w:t xml:space="preserve">The irrigation asset (the area outlined in the red rectangle in </w:t>
      </w:r>
      <w:r w:rsidR="00C819FF" w:rsidRPr="006F4023">
        <w:rPr>
          <w:lang w:val="en-AU"/>
        </w:rPr>
        <w:t>Figure 6</w:t>
      </w:r>
      <w:r w:rsidRPr="006F4023">
        <w:rPr>
          <w:lang w:val="en-AU"/>
        </w:rPr>
        <w:t>, part e) has very poor seismic coverage. It has a dimension of about 3 x 7 km, and there are seismic lines immediately to the north and south of this area. If these seismic lines did not detect a fault, it is reasonable to conclude that the largest fault would have a total length of circa 7000 m. Using the throw versus length plot (</w:t>
      </w:r>
      <w:r w:rsidR="00C819FF" w:rsidRPr="006F4023">
        <w:rPr>
          <w:lang w:val="en-AU"/>
        </w:rPr>
        <w:t>Figure 6</w:t>
      </w:r>
      <w:r w:rsidRPr="006F4023">
        <w:rPr>
          <w:lang w:val="en-AU"/>
        </w:rPr>
        <w:t xml:space="preserve">, part d), the largest credible maximum throw for a fault “hidden” within the development area would thus be about 70 – 80 m. </w:t>
      </w:r>
    </w:p>
    <w:p w14:paraId="11511754" w14:textId="5221388E" w:rsidR="00445F7C" w:rsidRPr="006F4023" w:rsidRDefault="00445F7C" w:rsidP="00445F7C">
      <w:pPr>
        <w:pStyle w:val="BodyText"/>
        <w:rPr>
          <w:lang w:val="en-AU"/>
        </w:rPr>
      </w:pPr>
      <w:r w:rsidRPr="006F4023">
        <w:rPr>
          <w:lang w:val="en-AU"/>
        </w:rPr>
        <w:t xml:space="preserve">We can then assess the probability that a hidden fault might breach the aquitard within the irrigation area, and this analysis is shown in the plot of throw versus length in </w:t>
      </w:r>
      <w:r w:rsidR="00C819FF" w:rsidRPr="006F4023">
        <w:rPr>
          <w:lang w:val="en-AU"/>
        </w:rPr>
        <w:t>Figure 6</w:t>
      </w:r>
      <w:r w:rsidRPr="006F4023">
        <w:rPr>
          <w:lang w:val="en-AU"/>
        </w:rPr>
        <w:t>, part f. The likely throw and uncertainty is shown as the small triangle which is labelled and to the left of the plot showing maximum fault throw versus fault length.</w:t>
      </w:r>
      <w:r w:rsidRPr="006F4023" w:rsidDel="00B23E8A">
        <w:rPr>
          <w:lang w:val="en-AU"/>
        </w:rPr>
        <w:t xml:space="preserve"> </w:t>
      </w:r>
      <w:r w:rsidRPr="006F4023">
        <w:rPr>
          <w:lang w:val="en-AU"/>
        </w:rPr>
        <w:t xml:space="preserve">The aquitard thickness and the possible maximum throw distribution overlap slightly (with the largest credible maximum throw overlapping with the smallest credible aquitard thickness), therefore, it is possible to calculate the probability </w:t>
      </w:r>
      <w:r w:rsidRPr="006F4023">
        <w:rPr>
          <w:lang w:val="en-AU"/>
        </w:rPr>
        <w:lastRenderedPageBreak/>
        <w:t xml:space="preserve">that the largest possible “hidden fault” could breach the </w:t>
      </w:r>
      <w:proofErr w:type="gramStart"/>
      <w:r w:rsidRPr="006F4023">
        <w:rPr>
          <w:lang w:val="en-AU"/>
        </w:rPr>
        <w:t>aquitard, and</w:t>
      </w:r>
      <w:proofErr w:type="gramEnd"/>
      <w:r w:rsidRPr="006F4023">
        <w:rPr>
          <w:lang w:val="en-AU"/>
        </w:rPr>
        <w:t xml:space="preserve"> provide a cross fault juxtaposition between the aquifer and the coal measures.</w:t>
      </w:r>
    </w:p>
    <w:p w14:paraId="6EF8B180" w14:textId="23D41573" w:rsidR="00445F7C" w:rsidRPr="0038473D" w:rsidRDefault="00445F7C" w:rsidP="00445F7C">
      <w:pPr>
        <w:pStyle w:val="BodyText"/>
        <w:rPr>
          <w:lang w:val="en-AU"/>
        </w:rPr>
      </w:pPr>
      <w:r w:rsidRPr="006F4023">
        <w:rPr>
          <w:lang w:val="en-AU"/>
        </w:rPr>
        <w:t xml:space="preserve">As the chance of the largest credible hidden fault breaching the aquitard is relatively small, it </w:t>
      </w:r>
      <w:r w:rsidR="006F0469">
        <w:rPr>
          <w:lang w:val="en-AU"/>
        </w:rPr>
        <w:t xml:space="preserve">can </w:t>
      </w:r>
      <w:r w:rsidRPr="006F4023">
        <w:rPr>
          <w:lang w:val="en-AU"/>
        </w:rPr>
        <w:t xml:space="preserve">be argued that </w:t>
      </w:r>
      <w:r w:rsidR="006F0469">
        <w:rPr>
          <w:lang w:val="en-AU"/>
        </w:rPr>
        <w:t xml:space="preserve">for </w:t>
      </w:r>
      <w:r w:rsidRPr="006F4023">
        <w:rPr>
          <w:lang w:val="en-AU"/>
        </w:rPr>
        <w:t xml:space="preserve">this proposed development the faults do not breach the regional aquitard. There does appear, however, to be a small chance (perhaps 5 %) that a fault could breach the aquitard. If this </w:t>
      </w:r>
      <w:r w:rsidR="006F0469">
        <w:rPr>
          <w:lang w:val="en-AU"/>
        </w:rPr>
        <w:t>were shown by further investigation</w:t>
      </w:r>
      <w:r w:rsidRPr="006F4023">
        <w:rPr>
          <w:lang w:val="en-AU"/>
        </w:rPr>
        <w:t xml:space="preserve">, then the development should be considered as one of the more complex examples, perhaps scenario C. </w:t>
      </w:r>
    </w:p>
    <w:p w14:paraId="55BE8059" w14:textId="7C05F6AA" w:rsidR="00445F7C" w:rsidRPr="006F4023" w:rsidRDefault="00445F7C" w:rsidP="00445F7C">
      <w:pPr>
        <w:pStyle w:val="BodyText"/>
        <w:rPr>
          <w:lang w:val="en-AU"/>
        </w:rPr>
      </w:pPr>
      <w:r w:rsidRPr="0038473D">
        <w:rPr>
          <w:b/>
          <w:bCs/>
          <w:lang w:val="en-AU"/>
        </w:rPr>
        <w:t>Flow Calculations, Simulations, and Flow Pathways:</w:t>
      </w:r>
      <w:r w:rsidRPr="006F4023">
        <w:rPr>
          <w:lang w:val="en-AU"/>
        </w:rPr>
        <w:t xml:space="preserve"> If we assess the fault character and uncertainties as outlined above and demonstrate that the possibility of breach of the aquitard is very small, it can be argued that there are no flow pathways, and because of this, conclude that detailed flow modelling and calculations are not needed</w:t>
      </w:r>
      <w:r w:rsidR="00EE26F3" w:rsidRPr="006F4023">
        <w:rPr>
          <w:lang w:val="en-AU"/>
        </w:rPr>
        <w:t xml:space="preserve"> for assessing risk from faults</w:t>
      </w:r>
      <w:r w:rsidRPr="006F4023">
        <w:rPr>
          <w:lang w:val="en-AU"/>
        </w:rPr>
        <w:t xml:space="preserve">. It is thus fair to conclude that the risk to assets from development is very low, and that no causal pathways that are related to faults are likely. </w:t>
      </w:r>
      <w:r w:rsidR="00EE26F3" w:rsidRPr="006F4023">
        <w:rPr>
          <w:lang w:val="en-AU"/>
        </w:rPr>
        <w:t xml:space="preserve">Detailed flow modelling and calculations </w:t>
      </w:r>
      <w:r w:rsidR="008469EC" w:rsidRPr="006F4023">
        <w:rPr>
          <w:lang w:val="en-AU"/>
        </w:rPr>
        <w:t xml:space="preserve">may </w:t>
      </w:r>
      <w:r w:rsidR="00EE26F3" w:rsidRPr="006F4023">
        <w:rPr>
          <w:lang w:val="en-AU"/>
        </w:rPr>
        <w:t>still be required to address risks other than those presented by faults.</w:t>
      </w:r>
    </w:p>
    <w:p w14:paraId="084EB21F" w14:textId="77777777" w:rsidR="00445F7C" w:rsidRPr="006F4023" w:rsidRDefault="00445F7C" w:rsidP="00445F7C">
      <w:pPr>
        <w:pStyle w:val="BodyText"/>
        <w:rPr>
          <w:lang w:val="en-AU"/>
        </w:rPr>
      </w:pPr>
      <w:r w:rsidRPr="006F4023">
        <w:rPr>
          <w:b/>
          <w:bCs/>
          <w:lang w:val="en-AU"/>
        </w:rPr>
        <w:t>Risk mitigation and knowledge gaps:</w:t>
      </w:r>
      <w:r w:rsidRPr="006F4023">
        <w:rPr>
          <w:lang w:val="en-AU"/>
        </w:rPr>
        <w:t xml:space="preserve"> This scenario illustrates that there are no pathways, thus there can be no causal pathways. Risk mitigation is related to the conceptual uncertainty of </w:t>
      </w:r>
      <w:proofErr w:type="gramStart"/>
      <w:r w:rsidRPr="006F4023">
        <w:rPr>
          <w:lang w:val="en-AU"/>
        </w:rPr>
        <w:t>whether or not</w:t>
      </w:r>
      <w:proofErr w:type="gramEnd"/>
      <w:r w:rsidRPr="006F4023">
        <w:rPr>
          <w:lang w:val="en-AU"/>
        </w:rPr>
        <w:t xml:space="preserve"> this development lies within this scenario. </w:t>
      </w:r>
    </w:p>
    <w:p w14:paraId="4E14164B" w14:textId="77777777" w:rsidR="00445F7C" w:rsidRPr="006F4023" w:rsidRDefault="00445F7C" w:rsidP="00445F7C">
      <w:pPr>
        <w:pStyle w:val="BodyText"/>
        <w:rPr>
          <w:lang w:val="en-AU"/>
        </w:rPr>
      </w:pPr>
      <w:r w:rsidRPr="006F4023">
        <w:rPr>
          <w:lang w:val="en-AU"/>
        </w:rPr>
        <w:t xml:space="preserve">The key elements of this scenario are the thickness of the aquitard and the throw of the fault. An obvious knowledge gap is the uncertainty related to faults and aquitards. As coal developments occur in distinct basins it is possible to develop regional aquitard and quantitative fault framework models and statistics, and these can be used to assess </w:t>
      </w:r>
      <w:proofErr w:type="gramStart"/>
      <w:r w:rsidRPr="006F4023">
        <w:rPr>
          <w:lang w:val="en-AU"/>
        </w:rPr>
        <w:t>whether or not</w:t>
      </w:r>
      <w:proofErr w:type="gramEnd"/>
      <w:r w:rsidRPr="006F4023">
        <w:rPr>
          <w:lang w:val="en-AU"/>
        </w:rPr>
        <w:t xml:space="preserve"> this scenario has been correctly applied. </w:t>
      </w:r>
    </w:p>
    <w:p w14:paraId="73A81C93" w14:textId="77777777" w:rsidR="00445F7C" w:rsidRPr="006F4023" w:rsidRDefault="00445F7C" w:rsidP="00445F7C">
      <w:pPr>
        <w:pStyle w:val="Heading3"/>
      </w:pPr>
      <w:bookmarkStart w:id="455" w:name="_Toc66967228"/>
      <w:r w:rsidRPr="006F4023">
        <w:t>Example case study</w:t>
      </w:r>
      <w:bookmarkEnd w:id="454"/>
      <w:bookmarkEnd w:id="455"/>
    </w:p>
    <w:p w14:paraId="135D31BC" w14:textId="6828F835" w:rsidR="00445F7C" w:rsidRPr="006F4023" w:rsidRDefault="00445F7C" w:rsidP="00445F7C">
      <w:pPr>
        <w:pStyle w:val="BodyText"/>
        <w:rPr>
          <w:lang w:val="en-AU"/>
        </w:rPr>
      </w:pPr>
      <w:r w:rsidRPr="006F4023">
        <w:rPr>
          <w:lang w:val="en-AU"/>
        </w:rPr>
        <w:t xml:space="preserve">This scenario considers a proposed CSG development near two </w:t>
      </w:r>
      <w:r w:rsidR="004A1045">
        <w:rPr>
          <w:lang w:val="en-AU"/>
        </w:rPr>
        <w:t>GDEs</w:t>
      </w:r>
      <w:r w:rsidRPr="006F4023">
        <w:rPr>
          <w:lang w:val="en-AU"/>
        </w:rPr>
        <w:t xml:space="preserve">, a river, and an aquifer used for irrigation. The scenario is </w:t>
      </w:r>
      <w:r w:rsidR="004C7485" w:rsidRPr="006F4023">
        <w:rPr>
          <w:lang w:val="en-AU"/>
        </w:rPr>
        <w:t xml:space="preserve">summarised </w:t>
      </w:r>
      <w:r w:rsidRPr="006F4023">
        <w:rPr>
          <w:lang w:val="en-AU"/>
        </w:rPr>
        <w:t xml:space="preserve">in </w:t>
      </w:r>
      <w:r w:rsidR="006C7EEF">
        <w:rPr>
          <w:lang w:val="en-AU"/>
        </w:rPr>
        <w:fldChar w:fldCharType="begin"/>
      </w:r>
      <w:r w:rsidR="006C7EEF">
        <w:rPr>
          <w:lang w:val="en-AU"/>
        </w:rPr>
        <w:instrText xml:space="preserve"> REF _Ref57022227 \h </w:instrText>
      </w:r>
      <w:r w:rsidR="006C7EEF">
        <w:rPr>
          <w:lang w:val="en-AU"/>
        </w:rPr>
      </w:r>
      <w:r w:rsidR="006C7EEF">
        <w:rPr>
          <w:lang w:val="en-AU"/>
        </w:rPr>
        <w:fldChar w:fldCharType="separate"/>
      </w:r>
      <w:r w:rsidR="00047351" w:rsidRPr="0038473D">
        <w:t xml:space="preserve">Figure </w:t>
      </w:r>
      <w:r w:rsidR="00047351">
        <w:rPr>
          <w:noProof/>
        </w:rPr>
        <w:t>7</w:t>
      </w:r>
      <w:r w:rsidR="006C7EEF">
        <w:rPr>
          <w:lang w:val="en-AU"/>
        </w:rPr>
        <w:fldChar w:fldCharType="end"/>
      </w:r>
      <w:r w:rsidRPr="006F4023">
        <w:rPr>
          <w:lang w:val="en-AU"/>
        </w:rPr>
        <w:t xml:space="preserve">. Part 1 of the attachment shows the location and setting of the proposed development, part 2 shows the aquitard isopach and the faults and part 3 shows the analysis of the aquitard in relation to the faulting. </w:t>
      </w:r>
    </w:p>
    <w:p w14:paraId="7949B65C" w14:textId="41D2125D" w:rsidR="00445F7C" w:rsidRPr="006F4023" w:rsidRDefault="00445F7C" w:rsidP="00445F7C">
      <w:pPr>
        <w:pStyle w:val="BodyText"/>
        <w:rPr>
          <w:lang w:val="en-AU"/>
        </w:rPr>
      </w:pPr>
      <w:r w:rsidRPr="006F4023">
        <w:rPr>
          <w:b/>
          <w:bCs/>
          <w:lang w:val="en-AU"/>
        </w:rPr>
        <w:t>Geological Setting:</w:t>
      </w:r>
      <w:r w:rsidRPr="006F4023">
        <w:rPr>
          <w:lang w:val="en-AU"/>
        </w:rPr>
        <w:t xml:space="preserve"> The coal measures are overlain by two regionally extensive aquifers and an intervening aquitard (</w:t>
      </w:r>
      <w:r w:rsidR="006C7EEF">
        <w:rPr>
          <w:lang w:val="en-AU"/>
        </w:rPr>
        <w:fldChar w:fldCharType="begin"/>
      </w:r>
      <w:r w:rsidR="006C7EEF">
        <w:rPr>
          <w:lang w:val="en-AU"/>
        </w:rPr>
        <w:instrText xml:space="preserve"> REF _Ref57022227 \h </w:instrText>
      </w:r>
      <w:r w:rsidR="006C7EEF">
        <w:rPr>
          <w:lang w:val="en-AU"/>
        </w:rPr>
      </w:r>
      <w:r w:rsidR="006C7EEF">
        <w:rPr>
          <w:lang w:val="en-AU"/>
        </w:rPr>
        <w:fldChar w:fldCharType="separate"/>
      </w:r>
      <w:r w:rsidR="00047351" w:rsidRPr="0038473D">
        <w:t xml:space="preserve">Figure </w:t>
      </w:r>
      <w:r w:rsidR="00047351">
        <w:rPr>
          <w:noProof/>
        </w:rPr>
        <w:t>7</w:t>
      </w:r>
      <w:r w:rsidR="006C7EEF">
        <w:rPr>
          <w:lang w:val="en-AU"/>
        </w:rPr>
        <w:fldChar w:fldCharType="end"/>
      </w:r>
      <w:r w:rsidRPr="006F4023">
        <w:rPr>
          <w:lang w:val="en-AU"/>
        </w:rPr>
        <w:t>, part b). There are five faults in and near the project region (</w:t>
      </w:r>
      <w:r w:rsidR="006C7EEF">
        <w:rPr>
          <w:lang w:val="en-AU"/>
        </w:rPr>
        <w:fldChar w:fldCharType="begin"/>
      </w:r>
      <w:r w:rsidR="006C7EEF">
        <w:rPr>
          <w:lang w:val="en-AU"/>
        </w:rPr>
        <w:instrText xml:space="preserve"> REF _Ref57022227 \h </w:instrText>
      </w:r>
      <w:r w:rsidR="006C7EEF">
        <w:rPr>
          <w:lang w:val="en-AU"/>
        </w:rPr>
      </w:r>
      <w:r w:rsidR="006C7EEF">
        <w:rPr>
          <w:lang w:val="en-AU"/>
        </w:rPr>
        <w:fldChar w:fldCharType="separate"/>
      </w:r>
      <w:r w:rsidR="00047351" w:rsidRPr="0038473D">
        <w:t xml:space="preserve">Figure </w:t>
      </w:r>
      <w:r w:rsidR="00047351">
        <w:rPr>
          <w:noProof/>
        </w:rPr>
        <w:t>7</w:t>
      </w:r>
      <w:r w:rsidR="006C7EEF">
        <w:rPr>
          <w:lang w:val="en-AU"/>
        </w:rPr>
        <w:fldChar w:fldCharType="end"/>
      </w:r>
      <w:r w:rsidRPr="006F4023">
        <w:rPr>
          <w:lang w:val="en-AU"/>
        </w:rPr>
        <w:t>, part c). A large throw normal fault from geologic survey maps in the south is known as the “F-Bound”, and four smaller faults (F-1, F-2, F-3, and F-4) are normal and reverse faults (</w:t>
      </w:r>
      <w:r w:rsidR="006C7EEF">
        <w:rPr>
          <w:lang w:val="en-AU"/>
        </w:rPr>
        <w:fldChar w:fldCharType="begin"/>
      </w:r>
      <w:r w:rsidR="006C7EEF">
        <w:rPr>
          <w:lang w:val="en-AU"/>
        </w:rPr>
        <w:instrText xml:space="preserve"> REF _Ref57022227 \h </w:instrText>
      </w:r>
      <w:r w:rsidR="006C7EEF">
        <w:rPr>
          <w:lang w:val="en-AU"/>
        </w:rPr>
      </w:r>
      <w:r w:rsidR="006C7EEF">
        <w:rPr>
          <w:lang w:val="en-AU"/>
        </w:rPr>
        <w:fldChar w:fldCharType="separate"/>
      </w:r>
      <w:r w:rsidR="00047351" w:rsidRPr="0038473D">
        <w:t xml:space="preserve">Figure </w:t>
      </w:r>
      <w:r w:rsidR="00047351">
        <w:rPr>
          <w:noProof/>
        </w:rPr>
        <w:t>7</w:t>
      </w:r>
      <w:r w:rsidR="006C7EEF">
        <w:rPr>
          <w:lang w:val="en-AU"/>
        </w:rPr>
        <w:fldChar w:fldCharType="end"/>
      </w:r>
      <w:r w:rsidRPr="006F4023">
        <w:rPr>
          <w:lang w:val="en-AU"/>
        </w:rPr>
        <w:t xml:space="preserve">, part c), which </w:t>
      </w:r>
      <w:r w:rsidR="004C7485" w:rsidRPr="006F4023">
        <w:rPr>
          <w:lang w:val="en-AU"/>
        </w:rPr>
        <w:t xml:space="preserve">are </w:t>
      </w:r>
      <w:r w:rsidRPr="006F4023">
        <w:rPr>
          <w:lang w:val="en-AU"/>
        </w:rPr>
        <w:t xml:space="preserve">derived from outcrop and regional 2D seismic analysis. At the development scale, a 3D Seismic survey has been used to plan a series of horizontal wells. A structure contour map with consistently annotated faults has been prepared (inset in </w:t>
      </w:r>
      <w:r w:rsidR="006C7EEF">
        <w:rPr>
          <w:lang w:val="en-AU"/>
        </w:rPr>
        <w:fldChar w:fldCharType="begin"/>
      </w:r>
      <w:r w:rsidR="006C7EEF">
        <w:rPr>
          <w:lang w:val="en-AU"/>
        </w:rPr>
        <w:instrText xml:space="preserve"> REF _Ref57022227 \h </w:instrText>
      </w:r>
      <w:r w:rsidR="006C7EEF">
        <w:rPr>
          <w:lang w:val="en-AU"/>
        </w:rPr>
      </w:r>
      <w:r w:rsidR="006C7EEF">
        <w:rPr>
          <w:lang w:val="en-AU"/>
        </w:rPr>
        <w:fldChar w:fldCharType="separate"/>
      </w:r>
      <w:r w:rsidR="00047351" w:rsidRPr="0038473D">
        <w:t xml:space="preserve">Figure </w:t>
      </w:r>
      <w:r w:rsidR="00047351">
        <w:rPr>
          <w:noProof/>
        </w:rPr>
        <w:t>7</w:t>
      </w:r>
      <w:r w:rsidR="006C7EEF">
        <w:rPr>
          <w:lang w:val="en-AU"/>
        </w:rPr>
        <w:fldChar w:fldCharType="end"/>
      </w:r>
      <w:r w:rsidRPr="006F4023">
        <w:rPr>
          <w:lang w:val="en-AU"/>
        </w:rPr>
        <w:t>, part c).</w:t>
      </w:r>
    </w:p>
    <w:p w14:paraId="1BE5E90D" w14:textId="77777777" w:rsidR="00445F7C" w:rsidRPr="006F4023" w:rsidRDefault="00445F7C" w:rsidP="00A44E58">
      <w:pPr>
        <w:pStyle w:val="BodyText"/>
        <w:keepNext/>
        <w:rPr>
          <w:b/>
          <w:bCs/>
          <w:lang w:val="en-AU"/>
        </w:rPr>
      </w:pPr>
      <w:r w:rsidRPr="006F4023">
        <w:rPr>
          <w:b/>
          <w:bCs/>
          <w:lang w:val="en-AU"/>
        </w:rPr>
        <w:t xml:space="preserve">Key supporting Data: </w:t>
      </w:r>
    </w:p>
    <w:p w14:paraId="5E2A547D"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Regional geological studies, including depositional environments and character of the stratigraphic succession, including the depositional environments of the regional aquifers and aquitard units.</w:t>
      </w:r>
    </w:p>
    <w:p w14:paraId="18F8252A"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Coal resource definition drilling.</w:t>
      </w:r>
    </w:p>
    <w:p w14:paraId="02B6895D" w14:textId="5A0A7708"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Seismic lines (</w:t>
      </w:r>
      <w:r w:rsidR="006C7EEF">
        <w:fldChar w:fldCharType="begin"/>
      </w:r>
      <w:r w:rsidR="006C7EEF">
        <w:instrText xml:space="preserve"> REF _Ref57022227 \h </w:instrText>
      </w:r>
      <w:r w:rsidR="006C7EEF">
        <w:fldChar w:fldCharType="separate"/>
      </w:r>
      <w:r w:rsidR="00047351" w:rsidRPr="0038473D">
        <w:t xml:space="preserve">Figure </w:t>
      </w:r>
      <w:r w:rsidR="00047351">
        <w:rPr>
          <w:noProof/>
        </w:rPr>
        <w:t>7</w:t>
      </w:r>
      <w:r w:rsidR="006C7EEF">
        <w:fldChar w:fldCharType="end"/>
      </w:r>
      <w:r w:rsidRPr="006F4023">
        <w:rPr>
          <w:rFonts w:ascii="Garamond" w:hAnsi="Garamond"/>
        </w:rPr>
        <w:t xml:space="preserve">, parts a, </w:t>
      </w:r>
      <w:proofErr w:type="gramStart"/>
      <w:r w:rsidRPr="006F4023">
        <w:rPr>
          <w:rFonts w:ascii="Garamond" w:hAnsi="Garamond"/>
        </w:rPr>
        <w:t>c</w:t>
      </w:r>
      <w:proofErr w:type="gramEnd"/>
      <w:r w:rsidRPr="006F4023">
        <w:rPr>
          <w:rFonts w:ascii="Garamond" w:hAnsi="Garamond"/>
        </w:rPr>
        <w:t xml:space="preserve"> and e).</w:t>
      </w:r>
    </w:p>
    <w:p w14:paraId="2FC064BE"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Surface geological mapping, including some excellent exposures of the aquitard and aquifer in nearby areas.</w:t>
      </w:r>
    </w:p>
    <w:p w14:paraId="02E58A19" w14:textId="564041E4" w:rsidR="00445F7C" w:rsidRPr="006F4023" w:rsidRDefault="00445F7C" w:rsidP="00445F7C">
      <w:pPr>
        <w:pStyle w:val="BodyText"/>
        <w:rPr>
          <w:lang w:val="en-AU"/>
        </w:rPr>
      </w:pPr>
      <w:r w:rsidRPr="006F4023">
        <w:rPr>
          <w:b/>
          <w:bCs/>
          <w:lang w:val="en-AU"/>
        </w:rPr>
        <w:t>Fault Character:</w:t>
      </w:r>
      <w:r w:rsidRPr="006F4023">
        <w:rPr>
          <w:lang w:val="en-AU"/>
        </w:rPr>
        <w:t xml:space="preserve"> The seismic data, surface geological mapping, and resource drilling, coupled with the other data can be used to define a top coal structure contour map, as well as a top aquitard structure contour map. These, in turn, can be used to develop fault throw profiles for the five faults. A local plot of maximum fault throw versus fault length is shown in </w:t>
      </w:r>
      <w:r w:rsidR="006C7EEF">
        <w:rPr>
          <w:lang w:val="en-AU"/>
        </w:rPr>
        <w:fldChar w:fldCharType="begin"/>
      </w:r>
      <w:r w:rsidR="006C7EEF">
        <w:rPr>
          <w:lang w:val="en-AU"/>
        </w:rPr>
        <w:instrText xml:space="preserve"> REF _Ref57022227 \h </w:instrText>
      </w:r>
      <w:r w:rsidR="006C7EEF">
        <w:rPr>
          <w:lang w:val="en-AU"/>
        </w:rPr>
      </w:r>
      <w:r w:rsidR="006C7EEF">
        <w:rPr>
          <w:lang w:val="en-AU"/>
        </w:rPr>
        <w:fldChar w:fldCharType="separate"/>
      </w:r>
      <w:r w:rsidR="00047351" w:rsidRPr="0038473D">
        <w:t xml:space="preserve">Figure </w:t>
      </w:r>
      <w:r w:rsidR="00047351">
        <w:rPr>
          <w:noProof/>
        </w:rPr>
        <w:t>7</w:t>
      </w:r>
      <w:r w:rsidR="006C7EEF">
        <w:rPr>
          <w:lang w:val="en-AU"/>
        </w:rPr>
        <w:fldChar w:fldCharType="end"/>
      </w:r>
      <w:r w:rsidRPr="006F4023">
        <w:rPr>
          <w:lang w:val="en-AU"/>
        </w:rPr>
        <w:t xml:space="preserve">, part d. This plot shows the five named faults as labelled red points. Other smaller faults identified in the surface geological mapping are included in the fault throw versus length plot as orange data points. </w:t>
      </w:r>
    </w:p>
    <w:p w14:paraId="3AEF869F" w14:textId="4A2C1028" w:rsidR="00445F7C" w:rsidRPr="006F4023" w:rsidRDefault="00445F7C" w:rsidP="00445F7C">
      <w:pPr>
        <w:pStyle w:val="BodyText"/>
        <w:rPr>
          <w:lang w:val="en-AU"/>
        </w:rPr>
      </w:pPr>
      <w:r w:rsidRPr="006F4023">
        <w:rPr>
          <w:lang w:val="en-AU"/>
        </w:rPr>
        <w:lastRenderedPageBreak/>
        <w:t xml:space="preserve">Fault F-Bound appears to be the biggest fault in the area, with a strike length of ~25 km (the full length of this fault is not shown in </w:t>
      </w:r>
      <w:r w:rsidR="006C7EEF">
        <w:rPr>
          <w:lang w:val="en-AU"/>
        </w:rPr>
        <w:fldChar w:fldCharType="begin"/>
      </w:r>
      <w:r w:rsidR="006C7EEF">
        <w:rPr>
          <w:lang w:val="en-AU"/>
        </w:rPr>
        <w:instrText xml:space="preserve"> REF _Ref57022227 \h </w:instrText>
      </w:r>
      <w:r w:rsidR="006C7EEF">
        <w:rPr>
          <w:lang w:val="en-AU"/>
        </w:rPr>
      </w:r>
      <w:r w:rsidR="006C7EEF">
        <w:rPr>
          <w:lang w:val="en-AU"/>
        </w:rPr>
        <w:fldChar w:fldCharType="separate"/>
      </w:r>
      <w:r w:rsidR="00047351" w:rsidRPr="0038473D">
        <w:t xml:space="preserve">Figure </w:t>
      </w:r>
      <w:r w:rsidR="00047351">
        <w:rPr>
          <w:noProof/>
        </w:rPr>
        <w:t>7</w:t>
      </w:r>
      <w:r w:rsidR="006C7EEF">
        <w:rPr>
          <w:lang w:val="en-AU"/>
        </w:rPr>
        <w:fldChar w:fldCharType="end"/>
      </w:r>
      <w:r w:rsidRPr="006F4023">
        <w:rPr>
          <w:lang w:val="en-AU"/>
        </w:rPr>
        <w:t xml:space="preserve">). The F-Bound fault has a maximum throw in the project area of circa 500 m. Faults F-1 and F-2 are normal faults which dip eastwards and have strike lengths of 4000 and 5000 m respectively. These faults have maximum throw of 30 – 40 m. Two reverse faults in the far east (F-3 and F-4) dip westwards and have strike lengths of ~4500 and 4000 m respectively, with maximum throw of circa 50 and 60 m. The ratios of fault throw to total fault length for all the faults shown lie between approximately 0.1 and 0.001, which is in line with most fault data (see for example Shultz and Fossen 2008, or Fossen 2016). These data are shown in the top right of </w:t>
      </w:r>
      <w:r w:rsidR="006C7EEF">
        <w:rPr>
          <w:lang w:val="en-AU"/>
        </w:rPr>
        <w:fldChar w:fldCharType="begin"/>
      </w:r>
      <w:r w:rsidR="006C7EEF">
        <w:rPr>
          <w:lang w:val="en-AU"/>
        </w:rPr>
        <w:instrText xml:space="preserve"> REF _Ref57022227 \h </w:instrText>
      </w:r>
      <w:r w:rsidR="006C7EEF">
        <w:rPr>
          <w:lang w:val="en-AU"/>
        </w:rPr>
      </w:r>
      <w:r w:rsidR="006C7EEF">
        <w:rPr>
          <w:lang w:val="en-AU"/>
        </w:rPr>
        <w:fldChar w:fldCharType="separate"/>
      </w:r>
      <w:r w:rsidR="00047351" w:rsidRPr="0038473D">
        <w:t xml:space="preserve">Figure </w:t>
      </w:r>
      <w:r w:rsidR="00047351">
        <w:rPr>
          <w:noProof/>
        </w:rPr>
        <w:t>7</w:t>
      </w:r>
      <w:r w:rsidR="006C7EEF">
        <w:rPr>
          <w:lang w:val="en-AU"/>
        </w:rPr>
        <w:fldChar w:fldCharType="end"/>
      </w:r>
      <w:r w:rsidRPr="006F4023">
        <w:rPr>
          <w:lang w:val="en-AU"/>
        </w:rPr>
        <w:t xml:space="preserve">, part d. The comparison with other general fault data provides confidence in the fault interpretation. The fact that the smaller faults observed in mapping have similar character lends confidence in the interpretation of these larger faults from the seismic and mapping data. </w:t>
      </w:r>
    </w:p>
    <w:p w14:paraId="120C5BAE" w14:textId="77777777" w:rsidR="00445F7C" w:rsidRPr="006F4023" w:rsidRDefault="00445F7C" w:rsidP="00445F7C">
      <w:pPr>
        <w:pStyle w:val="BodyText"/>
        <w:rPr>
          <w:lang w:val="en-AU"/>
        </w:rPr>
      </w:pPr>
      <w:r w:rsidRPr="006F4023">
        <w:rPr>
          <w:b/>
          <w:bCs/>
          <w:lang w:val="en-AU"/>
        </w:rPr>
        <w:t xml:space="preserve">Evaluation of Pathways. </w:t>
      </w:r>
      <w:r w:rsidRPr="006F4023">
        <w:rPr>
          <w:lang w:val="en-AU"/>
        </w:rPr>
        <w:t xml:space="preserve">To consider the possible fault related pathways, consider the possibility of flow both parallel to the faults and flow across the faults. </w:t>
      </w:r>
    </w:p>
    <w:p w14:paraId="7F25EB7D" w14:textId="79FEC44F" w:rsidR="00445F7C" w:rsidRPr="006F4023" w:rsidRDefault="00445F7C" w:rsidP="00445F7C">
      <w:pPr>
        <w:pStyle w:val="BodyText"/>
        <w:rPr>
          <w:lang w:val="en-AU"/>
        </w:rPr>
      </w:pPr>
      <w:r w:rsidRPr="006F4023">
        <w:rPr>
          <w:b/>
          <w:bCs/>
          <w:lang w:val="en-AU"/>
        </w:rPr>
        <w:t>F</w:t>
      </w:r>
      <w:r w:rsidR="008469EC" w:rsidRPr="006F4023">
        <w:rPr>
          <w:b/>
          <w:bCs/>
          <w:lang w:val="en-AU"/>
        </w:rPr>
        <w:t>ault</w:t>
      </w:r>
      <w:r w:rsidRPr="006F4023">
        <w:rPr>
          <w:b/>
          <w:bCs/>
          <w:lang w:val="en-AU"/>
        </w:rPr>
        <w:t xml:space="preserve"> parallel flow:</w:t>
      </w:r>
      <w:r w:rsidRPr="006F4023">
        <w:rPr>
          <w:lang w:val="en-AU"/>
        </w:rPr>
        <w:t xml:space="preserve"> Flow can be up and down (parallel to the dip direction) or horizontal (parallel to the fault strike direction). Due to the mechanical stratigraphy and the documented composition of the regional aquitard, it is unlikely that well developed damage zones occur in the aquitard. Any fractures that do form are likely to heal and seal, as observed in many oil and gas wells. Flow up and down along the fault through damage zones within the aquitard is unlikely.</w:t>
      </w:r>
      <w:r w:rsidR="008469EC" w:rsidRPr="006F4023">
        <w:rPr>
          <w:lang w:val="en-AU"/>
        </w:rPr>
        <w:t xml:space="preserve"> Note, fault parallel flow may be more prevalent shallower in the subsurface. </w:t>
      </w:r>
    </w:p>
    <w:p w14:paraId="6CC80CF9" w14:textId="77777777" w:rsidR="00445F7C" w:rsidRPr="006F4023" w:rsidRDefault="00445F7C" w:rsidP="00445F7C">
      <w:pPr>
        <w:pStyle w:val="BodyText"/>
        <w:rPr>
          <w:lang w:val="en-AU"/>
        </w:rPr>
        <w:sectPr w:rsidR="00445F7C" w:rsidRPr="006F4023" w:rsidSect="00313C0C">
          <w:headerReference w:type="even" r:id="rId66"/>
          <w:headerReference w:type="default" r:id="rId67"/>
          <w:headerReference w:type="first" r:id="rId68"/>
          <w:pgSz w:w="11906" w:h="16838" w:code="9"/>
          <w:pgMar w:top="1701" w:right="1418" w:bottom="1418" w:left="1418" w:header="567" w:footer="567" w:gutter="0"/>
          <w:cols w:space="708"/>
          <w:docGrid w:linePitch="360"/>
        </w:sectPr>
      </w:pPr>
      <w:r w:rsidRPr="006F4023">
        <w:rPr>
          <w:b/>
          <w:bCs/>
          <w:lang w:val="en-AU"/>
        </w:rPr>
        <w:t>Cross-fault flow:</w:t>
      </w:r>
      <w:r w:rsidRPr="006F4023">
        <w:rPr>
          <w:lang w:val="en-AU"/>
        </w:rPr>
        <w:t xml:space="preserve"> Since the faults do not breach the aquitard, providing juxtapositions of the coal development with the aquifer/asset, there is essentially nil chance of cross fault flow, because juxtaposition of the aquitard against either the aquifer or the coal seam will produce an effective no-flow fault boundary. </w:t>
      </w:r>
    </w:p>
    <w:p w14:paraId="51A6A252" w14:textId="453197C5" w:rsidR="00445F7C" w:rsidRPr="006F4023" w:rsidRDefault="007F3E43" w:rsidP="00445F7C">
      <w:pPr>
        <w:pStyle w:val="BodyText"/>
        <w:rPr>
          <w:lang w:val="en-AU"/>
        </w:rPr>
      </w:pPr>
      <w:r>
        <w:rPr>
          <w:noProof/>
          <w:lang w:val="en-AU" w:eastAsia="en-AU"/>
        </w:rPr>
        <w:lastRenderedPageBreak/>
        <w:drawing>
          <wp:inline distT="0" distB="0" distL="0" distR="0" wp14:anchorId="1209D387" wp14:editId="25DA504D">
            <wp:extent cx="7784984" cy="5481991"/>
            <wp:effectExtent l="0" t="0" r="6985"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835113" cy="5517291"/>
                    </a:xfrm>
                    <a:prstGeom prst="rect">
                      <a:avLst/>
                    </a:prstGeom>
                    <a:noFill/>
                  </pic:spPr>
                </pic:pic>
              </a:graphicData>
            </a:graphic>
          </wp:inline>
        </w:drawing>
      </w:r>
    </w:p>
    <w:p w14:paraId="00ADF2FE" w14:textId="3AC661AE" w:rsidR="00445F7C" w:rsidRPr="006F4023" w:rsidRDefault="00AD5EDF" w:rsidP="00445F7C">
      <w:pPr>
        <w:pStyle w:val="Caption"/>
        <w:sectPr w:rsidR="00445F7C" w:rsidRPr="006F4023" w:rsidSect="00165B18">
          <w:pgSz w:w="16838" w:h="11906" w:orient="landscape" w:code="9"/>
          <w:pgMar w:top="1418" w:right="1701" w:bottom="1418" w:left="1418" w:header="567" w:footer="567" w:gutter="0"/>
          <w:cols w:space="708"/>
          <w:docGrid w:linePitch="360"/>
        </w:sectPr>
      </w:pPr>
      <w:bookmarkStart w:id="456" w:name="_Ref57022227"/>
      <w:r w:rsidRPr="0038473D">
        <w:t xml:space="preserve">Figure </w:t>
      </w:r>
      <w:r w:rsidRPr="0038473D">
        <w:fldChar w:fldCharType="begin"/>
      </w:r>
      <w:r w:rsidRPr="006F4023">
        <w:instrText xml:space="preserve"> SEQ Figure \* ARABIC </w:instrText>
      </w:r>
      <w:r w:rsidRPr="0038473D">
        <w:fldChar w:fldCharType="separate"/>
      </w:r>
      <w:r w:rsidR="00047351">
        <w:rPr>
          <w:noProof/>
        </w:rPr>
        <w:t>7</w:t>
      </w:r>
      <w:r w:rsidRPr="0038473D">
        <w:fldChar w:fldCharType="end"/>
      </w:r>
      <w:bookmarkEnd w:id="456"/>
      <w:r w:rsidRPr="006F4023">
        <w:t>:</w:t>
      </w:r>
      <w:r w:rsidR="00445F7C" w:rsidRPr="0038473D">
        <w:t xml:space="preserve"> Example workflow that addresses Scenario </w:t>
      </w:r>
      <w:r w:rsidR="00010C71" w:rsidRPr="006F4023">
        <w:t>A-2</w:t>
      </w:r>
      <w:r w:rsidR="00445F7C" w:rsidRPr="006F4023">
        <w:t xml:space="preserve"> for a ‘regional aquitard with a high integrity’.</w:t>
      </w:r>
    </w:p>
    <w:p w14:paraId="6E5173F5" w14:textId="77777777" w:rsidR="00741420" w:rsidRPr="0038473D" w:rsidRDefault="00741420" w:rsidP="00741420"/>
    <w:p w14:paraId="606C2B11" w14:textId="3F52EEAC" w:rsidR="00741420" w:rsidRPr="006F4023" w:rsidRDefault="00741420" w:rsidP="00741420">
      <w:pPr>
        <w:pStyle w:val="Heading1Numbered"/>
      </w:pPr>
      <w:bookmarkStart w:id="457" w:name="_Toc66967229"/>
      <w:r w:rsidRPr="0038473D">
        <w:t>E</w:t>
      </w:r>
      <w:r w:rsidRPr="006F4023">
        <w:t>xample Scenario B</w:t>
      </w:r>
      <w:r w:rsidRPr="006F4023">
        <w:br/>
        <w:t>Cases where faults are potentially important within aquifers</w:t>
      </w:r>
      <w:bookmarkEnd w:id="457"/>
    </w:p>
    <w:p w14:paraId="6B832917" w14:textId="77777777" w:rsidR="00445F7C" w:rsidRPr="006F4023" w:rsidRDefault="00445F7C" w:rsidP="00445F7C">
      <w:pPr>
        <w:pStyle w:val="BodyText"/>
        <w:rPr>
          <w:lang w:val="en-AU"/>
        </w:rPr>
      </w:pPr>
      <w:r w:rsidRPr="006F4023">
        <w:rPr>
          <w:lang w:val="en-AU"/>
        </w:rPr>
        <w:t xml:space="preserve">In this scenario we consider situations where there are no regional aquitards in the development region that segregate the groundwater asset or aquifer from the coal seam or excavation. </w:t>
      </w:r>
    </w:p>
    <w:p w14:paraId="21CC3E29" w14:textId="77777777" w:rsidR="00445F7C" w:rsidRPr="006F4023" w:rsidRDefault="00445F7C" w:rsidP="00445F7C">
      <w:pPr>
        <w:pStyle w:val="Heading3"/>
      </w:pPr>
      <w:bookmarkStart w:id="458" w:name="_Toc66967230"/>
      <w:r w:rsidRPr="006F4023">
        <w:t>Initial risk profile given geology and groundwater conditions</w:t>
      </w:r>
      <w:bookmarkEnd w:id="458"/>
    </w:p>
    <w:p w14:paraId="33796677"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Flow parallel to faults may be enhanced in fault damage zones that contain fractures.</w:t>
      </w:r>
    </w:p>
    <w:p w14:paraId="535CA637"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The relative importance of flow within the aquifer and flow along fault zones must be assessed.</w:t>
      </w:r>
    </w:p>
    <w:p w14:paraId="246174A8" w14:textId="77777777" w:rsidR="00445F7C" w:rsidRPr="006F4023" w:rsidRDefault="00445F7C" w:rsidP="00445F7C">
      <w:pPr>
        <w:pStyle w:val="Heading3"/>
      </w:pPr>
      <w:bookmarkStart w:id="459" w:name="_Toc42765117"/>
      <w:bookmarkStart w:id="460" w:name="_Toc66967231"/>
      <w:r w:rsidRPr="006F4023">
        <w:t>Site based evidence</w:t>
      </w:r>
      <w:bookmarkEnd w:id="459"/>
      <w:bookmarkEnd w:id="460"/>
      <w:r w:rsidRPr="006F4023">
        <w:t xml:space="preserve"> </w:t>
      </w:r>
    </w:p>
    <w:p w14:paraId="49C5215B"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 xml:space="preserve">Documentation, </w:t>
      </w:r>
      <w:proofErr w:type="gramStart"/>
      <w:r w:rsidRPr="006F4023">
        <w:rPr>
          <w:rFonts w:ascii="Garamond" w:hAnsi="Garamond"/>
        </w:rPr>
        <w:t>analysis</w:t>
      </w:r>
      <w:proofErr w:type="gramEnd"/>
      <w:r w:rsidRPr="006F4023">
        <w:rPr>
          <w:rFonts w:ascii="Garamond" w:hAnsi="Garamond"/>
        </w:rPr>
        <w:t xml:space="preserve"> and presentation of geological and </w:t>
      </w:r>
      <w:proofErr w:type="spellStart"/>
      <w:r w:rsidRPr="006F4023">
        <w:rPr>
          <w:rFonts w:ascii="Garamond" w:hAnsi="Garamond"/>
        </w:rPr>
        <w:t>hydrostratigraphic</w:t>
      </w:r>
      <w:proofErr w:type="spellEnd"/>
      <w:r w:rsidRPr="006F4023">
        <w:rPr>
          <w:rFonts w:ascii="Garamond" w:hAnsi="Garamond"/>
        </w:rPr>
        <w:t xml:space="preserve"> model, using cross sections and isopach maps.</w:t>
      </w:r>
    </w:p>
    <w:p w14:paraId="2A9D6F1C"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 xml:space="preserve">Analysis and presentation of hydrogeological characterisation of damage zones (including hydraulic conductivity, transmissivity and </w:t>
      </w:r>
      <w:proofErr w:type="spellStart"/>
      <w:r w:rsidRPr="006F4023">
        <w:rPr>
          <w:rFonts w:ascii="Garamond" w:hAnsi="Garamond"/>
        </w:rPr>
        <w:t>storativity</w:t>
      </w:r>
      <w:proofErr w:type="spellEnd"/>
      <w:r w:rsidRPr="006F4023">
        <w:rPr>
          <w:rFonts w:ascii="Garamond" w:hAnsi="Garamond"/>
        </w:rPr>
        <w:t>), preferably with multiple lines of evidence.</w:t>
      </w:r>
    </w:p>
    <w:p w14:paraId="74BC50D9"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Analysis of displacement profiles to assess lateral continuity of faults.</w:t>
      </w:r>
    </w:p>
    <w:p w14:paraId="77768034"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Analysis of the uncertainties that arise from the character of the fault damage zone(s), including the thickness and continuity of the damage zones, fracture density and effective fracture transmissivity.</w:t>
      </w:r>
    </w:p>
    <w:p w14:paraId="18212FF9"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Analysis of outcrop studies of nearby fault zones or of fault zones from analogous geological settings, documenting damage zone architecture, fracturing and any fault rocks.</w:t>
      </w:r>
    </w:p>
    <w:p w14:paraId="4C3A1848"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Characterisation of the mechanical stratigraphy of the aquifers and thus their propensity to fracture.</w:t>
      </w:r>
    </w:p>
    <w:p w14:paraId="6BC25E2A"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Analysis of aquifer pumping tests designed to characterize fault flow parallel to the fault zones (for example within fractures/fault damage zones).</w:t>
      </w:r>
    </w:p>
    <w:p w14:paraId="1AA37390" w14:textId="77777777" w:rsidR="00445F7C" w:rsidRPr="006F4023" w:rsidRDefault="00445F7C" w:rsidP="00445F7C">
      <w:pPr>
        <w:pStyle w:val="Heading3"/>
      </w:pPr>
      <w:bookmarkStart w:id="461" w:name="_Toc42765118"/>
      <w:bookmarkStart w:id="462" w:name="_Toc66967232"/>
      <w:r w:rsidRPr="006F4023">
        <w:t>Characterisation of uncertainty</w:t>
      </w:r>
      <w:bookmarkEnd w:id="461"/>
      <w:r w:rsidRPr="006F4023">
        <w:t xml:space="preserve"> required for risk assessment in this context</w:t>
      </w:r>
      <w:bookmarkEnd w:id="462"/>
    </w:p>
    <w:p w14:paraId="0B9509FF" w14:textId="6A3D9F76"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Stochastic modelling may be used to estimate the probability that an identified fault or an unidentified fault intersects an asset and to assess the repercussions of estimated impacts on the groundwater flow regime.</w:t>
      </w:r>
    </w:p>
    <w:p w14:paraId="6FAD3554" w14:textId="591B4E8D"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The resulting probability and flow distribution could then be used in groundwater modelling to evaluate the drawdown effect on an asset.</w:t>
      </w:r>
    </w:p>
    <w:p w14:paraId="62E3D279" w14:textId="455B78C9"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Ideally uncertainty in the fault zone properties could be constrained with appropriate aquifer pump</w:t>
      </w:r>
      <w:r w:rsidR="00CE4237">
        <w:rPr>
          <w:rFonts w:ascii="Garamond" w:hAnsi="Garamond"/>
        </w:rPr>
        <w:t>ing</w:t>
      </w:r>
      <w:r w:rsidRPr="006F4023">
        <w:rPr>
          <w:rFonts w:ascii="Garamond" w:hAnsi="Garamond"/>
        </w:rPr>
        <w:t xml:space="preserve"> test</w:t>
      </w:r>
      <w:r w:rsidR="00CE4237">
        <w:rPr>
          <w:rFonts w:ascii="Garamond" w:hAnsi="Garamond"/>
        </w:rPr>
        <w:t>s</w:t>
      </w:r>
      <w:r w:rsidRPr="006F4023">
        <w:rPr>
          <w:rFonts w:ascii="Garamond" w:hAnsi="Garamond"/>
        </w:rPr>
        <w:t>, or tracer analyses, that measured flow along the fault zone (rather than across it).</w:t>
      </w:r>
    </w:p>
    <w:p w14:paraId="1DF1EA70" w14:textId="77777777" w:rsidR="00445F7C" w:rsidRPr="006F4023" w:rsidRDefault="00445F7C">
      <w:pPr>
        <w:rPr>
          <w:rFonts w:ascii="Garamond" w:hAnsi="Garamond" w:cs="Times New Roman"/>
          <w:color w:val="000000"/>
          <w:sz w:val="20"/>
          <w:szCs w:val="20"/>
        </w:rPr>
      </w:pPr>
      <w:r w:rsidRPr="006F4023">
        <w:rPr>
          <w:rFonts w:ascii="Garamond" w:hAnsi="Garamond"/>
        </w:rPr>
        <w:br w:type="page"/>
      </w:r>
    </w:p>
    <w:p w14:paraId="1034ABE3" w14:textId="086AFCDB" w:rsidR="00445F7C" w:rsidRPr="006F4023" w:rsidRDefault="00445F7C" w:rsidP="00445F7C">
      <w:pPr>
        <w:pStyle w:val="06DOTPOINTS"/>
        <w:spacing w:line="240" w:lineRule="auto"/>
        <w:ind w:left="0" w:firstLine="0"/>
        <w:rPr>
          <w:rFonts w:ascii="Garamond" w:hAnsi="Garamond"/>
        </w:rPr>
      </w:pPr>
    </w:p>
    <w:p w14:paraId="590E48A4" w14:textId="58083BF3" w:rsidR="00445F7C" w:rsidRPr="006F4023" w:rsidRDefault="00445F7C" w:rsidP="00445F7C">
      <w:pPr>
        <w:pStyle w:val="Box1Heading"/>
      </w:pPr>
      <w:r w:rsidRPr="006F4023">
        <w:t>Worst case approach to uncertainty assessment</w:t>
      </w:r>
    </w:p>
    <w:p w14:paraId="1405AFDF" w14:textId="07A16B84" w:rsidR="00445F7C" w:rsidRPr="006F4023" w:rsidRDefault="00445F7C" w:rsidP="00445F7C">
      <w:pPr>
        <w:pStyle w:val="Box1Text"/>
      </w:pPr>
      <w:r w:rsidRPr="006F4023">
        <w:t xml:space="preserve">Stochastic analysis is the preferred method of uncertainty analysis in this Explanatory Note. However, early (and sometimes sufficient) insights about the behaviour of faults, and how their presence influences groundwater impacts, can be determined and quantified by considering the </w:t>
      </w:r>
      <w:proofErr w:type="gramStart"/>
      <w:r w:rsidRPr="006F4023">
        <w:t>worst case</w:t>
      </w:r>
      <w:proofErr w:type="gramEnd"/>
      <w:r w:rsidRPr="006F4023">
        <w:t xml:space="preserve"> outcomes. </w:t>
      </w:r>
    </w:p>
    <w:p w14:paraId="3938ADE4" w14:textId="77777777" w:rsidR="00445F7C" w:rsidRPr="006F4023" w:rsidRDefault="00445F7C" w:rsidP="00445F7C">
      <w:pPr>
        <w:pStyle w:val="Box1Text"/>
      </w:pPr>
      <w:r w:rsidRPr="006F4023">
        <w:t>In assessing the risk posed by a fault to either a water asset or a GDE, the level of effort should be commensurate with the risk.</w:t>
      </w:r>
    </w:p>
    <w:p w14:paraId="4E73E04A" w14:textId="77777777" w:rsidR="00445F7C" w:rsidRPr="006F4023" w:rsidRDefault="00445F7C" w:rsidP="00445F7C">
      <w:pPr>
        <w:pStyle w:val="Heading3"/>
      </w:pPr>
      <w:bookmarkStart w:id="463" w:name="_Toc66967233"/>
      <w:bookmarkStart w:id="464" w:name="_Toc42765119"/>
      <w:r w:rsidRPr="006F4023">
        <w:t>Fault-related risk assessment – potential repercussions of the fault</w:t>
      </w:r>
      <w:bookmarkEnd w:id="463"/>
    </w:p>
    <w:p w14:paraId="46AA514F" w14:textId="115DE956" w:rsidR="00445F7C" w:rsidRPr="006F4023" w:rsidRDefault="00445F7C" w:rsidP="00445F7C">
      <w:pPr>
        <w:pStyle w:val="BodyText"/>
        <w:rPr>
          <w:lang w:val="en-AU"/>
        </w:rPr>
      </w:pPr>
      <w:r w:rsidRPr="006F4023">
        <w:rPr>
          <w:lang w:val="en-AU"/>
        </w:rPr>
        <w:t xml:space="preserve">Mechanical stratigraphy, and the anatomy and nature of fault damage zones, remain key elements of uncertainty in this scenario. Given that many developments in Australia are contiguous within a given basin, research to develop regional fault statistics is recommended. In many cases small faults in aquifers are mined through as waste rock or overburden, yet useful data on the faults and </w:t>
      </w:r>
      <w:r w:rsidRPr="002A7BAB">
        <w:rPr>
          <w:lang w:val="en-AU"/>
        </w:rPr>
        <w:t>characteristics</w:t>
      </w:r>
      <w:r w:rsidRPr="006F4023">
        <w:rPr>
          <w:lang w:val="en-AU"/>
        </w:rPr>
        <w:t xml:space="preserve"> of aquifers and aquitards ca</w:t>
      </w:r>
      <w:r w:rsidRPr="0038473D">
        <w:rPr>
          <w:lang w:val="en-AU"/>
        </w:rPr>
        <w:t>n be obtained during exploration and mining. As many proposed projects are in active mining areas, there is considerable scope to test the hydraulic behaviour of fault damage zones using pre-existing data. For example, automated groundwater level logging m</w:t>
      </w:r>
      <w:r w:rsidRPr="006F4023">
        <w:rPr>
          <w:lang w:val="en-AU"/>
        </w:rPr>
        <w:t>ay be used to observe long term mine dewatering and or planned maintenance shut in.</w:t>
      </w:r>
    </w:p>
    <w:p w14:paraId="0EFE1F0A" w14:textId="0D8D1E20" w:rsidR="00445F7C" w:rsidRPr="006F4023" w:rsidRDefault="00445F7C" w:rsidP="00445F7C">
      <w:pPr>
        <w:pStyle w:val="BodyText"/>
        <w:rPr>
          <w:lang w:val="en-AU"/>
        </w:rPr>
      </w:pPr>
      <w:r w:rsidRPr="006F4023">
        <w:rPr>
          <w:lang w:val="en-AU"/>
        </w:rPr>
        <w:t xml:space="preserve">It is expected that newly activated flow pathways resulting from coal or gas extraction can be identified so that effects can, if possible, be managed. For example, a single extraction bore that is over producing because it is connected to a damage zone can be shut down to reduce flows through the fracture networks. Discrete fractures that occur at rock outcrops and rock bars that are related to fault movement can be targeted for remediation. Natural remediation with sediment filling fractures, and active remediation using grout and polyurethanes could reduce flows through fractures. However, there is a lack of detailed scientific studies over the long term to demonstrate that groundwater assets and GDEs have been protected (Commonwealth of Australia, 2014). Where fault-related ground movement causes fractures in rocks that are covered by sediments or wetlands, it is not possible to readily identify damage, and thus remediation of any significant flow paths in the underlying rock may not be possible. </w:t>
      </w:r>
    </w:p>
    <w:p w14:paraId="45F98638" w14:textId="77777777" w:rsidR="00445F7C" w:rsidRPr="006F4023" w:rsidRDefault="00445F7C" w:rsidP="00445F7C">
      <w:pPr>
        <w:pStyle w:val="Heading3"/>
      </w:pPr>
      <w:bookmarkStart w:id="465" w:name="_Toc66967234"/>
      <w:r w:rsidRPr="006F4023">
        <w:t>Example case study</w:t>
      </w:r>
      <w:bookmarkEnd w:id="464"/>
      <w:bookmarkEnd w:id="465"/>
    </w:p>
    <w:p w14:paraId="109EE60B" w14:textId="77777777" w:rsidR="00445F7C" w:rsidRPr="006F4023" w:rsidRDefault="00445F7C" w:rsidP="00445F7C">
      <w:pPr>
        <w:pStyle w:val="BodyText"/>
        <w:rPr>
          <w:lang w:val="en-AU"/>
        </w:rPr>
      </w:pPr>
      <w:r w:rsidRPr="006F4023">
        <w:rPr>
          <w:lang w:val="en-AU"/>
        </w:rPr>
        <w:t xml:space="preserve">For this scenario we consider a proposed LCM project which consists of two phases, </w:t>
      </w:r>
    </w:p>
    <w:p w14:paraId="3AEBE35A"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 xml:space="preserve">Phase 1 is an open cut development, and </w:t>
      </w:r>
    </w:p>
    <w:p w14:paraId="067DC5BF"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 xml:space="preserve">Phase 2 is an underground extension which accesses the same coal seam using a longwall method. </w:t>
      </w:r>
    </w:p>
    <w:p w14:paraId="2217DFE5" w14:textId="07610C5E" w:rsidR="00445F7C" w:rsidRPr="0038473D" w:rsidRDefault="00445F7C" w:rsidP="00445F7C">
      <w:pPr>
        <w:pStyle w:val="BodyText"/>
        <w:rPr>
          <w:lang w:val="en-AU"/>
        </w:rPr>
      </w:pPr>
      <w:r w:rsidRPr="006F4023">
        <w:rPr>
          <w:lang w:val="en-AU"/>
        </w:rPr>
        <w:t xml:space="preserve">The complete scenario is shown in </w:t>
      </w:r>
      <w:r w:rsidR="00C819FF" w:rsidRPr="0038473D">
        <w:rPr>
          <w:lang w:val="en-AU"/>
        </w:rPr>
        <w:fldChar w:fldCharType="begin"/>
      </w:r>
      <w:r w:rsidR="00C819FF" w:rsidRPr="006F4023">
        <w:rPr>
          <w:lang w:val="en-AU"/>
        </w:rPr>
        <w:instrText xml:space="preserve"> REF _Ref57022475 \h </w:instrText>
      </w:r>
      <w:r w:rsidR="00C819FF" w:rsidRPr="0038473D">
        <w:rPr>
          <w:lang w:val="en-AU"/>
        </w:rPr>
      </w:r>
      <w:r w:rsidR="00C819FF" w:rsidRPr="0038473D">
        <w:rPr>
          <w:lang w:val="en-AU"/>
        </w:rPr>
        <w:fldChar w:fldCharType="separate"/>
      </w:r>
      <w:r w:rsidR="00047351" w:rsidRPr="0038473D">
        <w:t xml:space="preserve">Figure </w:t>
      </w:r>
      <w:r w:rsidR="00047351">
        <w:rPr>
          <w:noProof/>
        </w:rPr>
        <w:t>8</w:t>
      </w:r>
      <w:r w:rsidR="00C819FF" w:rsidRPr="0038473D">
        <w:rPr>
          <w:lang w:val="en-AU"/>
        </w:rPr>
        <w:fldChar w:fldCharType="end"/>
      </w:r>
      <w:r w:rsidRPr="006F4023">
        <w:rPr>
          <w:lang w:val="en-AU"/>
        </w:rPr>
        <w:t xml:space="preserve">. </w:t>
      </w:r>
    </w:p>
    <w:p w14:paraId="08F50DD1" w14:textId="7768E4CF" w:rsidR="00445F7C" w:rsidRPr="006F4023" w:rsidRDefault="00445F7C" w:rsidP="00445F7C">
      <w:pPr>
        <w:pStyle w:val="06DOTPOINTS"/>
        <w:numPr>
          <w:ilvl w:val="1"/>
          <w:numId w:val="6"/>
        </w:numPr>
        <w:spacing w:line="240" w:lineRule="auto"/>
        <w:rPr>
          <w:rFonts w:ascii="Garamond" w:hAnsi="Garamond"/>
        </w:rPr>
      </w:pPr>
      <w:r w:rsidRPr="0038473D">
        <w:rPr>
          <w:rFonts w:ascii="Garamond" w:hAnsi="Garamond"/>
        </w:rPr>
        <w:t>Part 1</w:t>
      </w:r>
      <w:r w:rsidR="00E01635" w:rsidRPr="006F4023">
        <w:rPr>
          <w:rFonts w:ascii="Garamond" w:hAnsi="Garamond"/>
        </w:rPr>
        <w:t xml:space="preserve"> </w:t>
      </w:r>
      <w:r w:rsidRPr="006F4023">
        <w:rPr>
          <w:rFonts w:ascii="Garamond" w:hAnsi="Garamond"/>
        </w:rPr>
        <w:t xml:space="preserve">shows the pre-development geometry and geology, </w:t>
      </w:r>
    </w:p>
    <w:p w14:paraId="3C1FB230" w14:textId="77777777" w:rsidR="00445F7C" w:rsidRPr="006F4023" w:rsidRDefault="00445F7C" w:rsidP="00445F7C">
      <w:pPr>
        <w:pStyle w:val="06DOTPOINTS"/>
        <w:numPr>
          <w:ilvl w:val="1"/>
          <w:numId w:val="6"/>
        </w:numPr>
        <w:spacing w:line="240" w:lineRule="auto"/>
        <w:rPr>
          <w:rFonts w:ascii="Garamond" w:hAnsi="Garamond"/>
        </w:rPr>
      </w:pPr>
      <w:r w:rsidRPr="006F4023">
        <w:rPr>
          <w:rFonts w:ascii="Garamond" w:hAnsi="Garamond"/>
        </w:rPr>
        <w:t xml:space="preserve">Part 2 shows the open cut development, and </w:t>
      </w:r>
    </w:p>
    <w:p w14:paraId="2703BC2C" w14:textId="77777777" w:rsidR="00445F7C" w:rsidRPr="006F4023" w:rsidRDefault="00445F7C" w:rsidP="00445F7C">
      <w:pPr>
        <w:pStyle w:val="06DOTPOINTS"/>
        <w:numPr>
          <w:ilvl w:val="1"/>
          <w:numId w:val="6"/>
        </w:numPr>
        <w:spacing w:line="240" w:lineRule="auto"/>
        <w:rPr>
          <w:rFonts w:ascii="Garamond" w:hAnsi="Garamond"/>
        </w:rPr>
      </w:pPr>
      <w:r w:rsidRPr="006F4023">
        <w:rPr>
          <w:rFonts w:ascii="Garamond" w:hAnsi="Garamond"/>
        </w:rPr>
        <w:t>Part 3 shows the underground longwall development.</w:t>
      </w:r>
    </w:p>
    <w:p w14:paraId="5556AA91" w14:textId="509E0460" w:rsidR="00445F7C" w:rsidRPr="0038473D" w:rsidRDefault="00445F7C" w:rsidP="00445F7C">
      <w:pPr>
        <w:pStyle w:val="BodyText"/>
        <w:rPr>
          <w:lang w:val="en-AU"/>
        </w:rPr>
      </w:pPr>
      <w:r w:rsidRPr="006F4023">
        <w:rPr>
          <w:b/>
          <w:bCs/>
          <w:lang w:val="en-AU"/>
        </w:rPr>
        <w:t>Geological Setting:</w:t>
      </w:r>
      <w:r w:rsidRPr="006F4023">
        <w:rPr>
          <w:lang w:val="en-AU"/>
        </w:rPr>
        <w:t xml:space="preserve"> The local stratigraphic section consists of two different sandstone aquifers, one above the coal and one below. Aquifer A (above the coal) is relatively homogenous, and much more uniform in character. Aquifer B (below the coal) has discontinuous silty to shaly lenses, which impede fracture development and impede groundwater flow. A regional shale (aquitard) unconformably overlies the two sandstones and the coal measures. The key resource (coal measures) is both folded and faulted, as shown in the cross sections in </w:t>
      </w:r>
      <w:r w:rsidR="00C819FF" w:rsidRPr="0038473D">
        <w:rPr>
          <w:lang w:val="en-AU"/>
        </w:rPr>
        <w:fldChar w:fldCharType="begin"/>
      </w:r>
      <w:r w:rsidR="00C819FF" w:rsidRPr="006F4023">
        <w:rPr>
          <w:lang w:val="en-AU"/>
        </w:rPr>
        <w:instrText xml:space="preserve"> REF _Ref57022475 \h </w:instrText>
      </w:r>
      <w:r w:rsidR="00C819FF" w:rsidRPr="0038473D">
        <w:rPr>
          <w:lang w:val="en-AU"/>
        </w:rPr>
      </w:r>
      <w:r w:rsidR="00C819FF" w:rsidRPr="0038473D">
        <w:rPr>
          <w:lang w:val="en-AU"/>
        </w:rPr>
        <w:fldChar w:fldCharType="separate"/>
      </w:r>
      <w:r w:rsidR="00047351" w:rsidRPr="0038473D">
        <w:t xml:space="preserve">Figure </w:t>
      </w:r>
      <w:r w:rsidR="00047351">
        <w:rPr>
          <w:noProof/>
        </w:rPr>
        <w:t>8</w:t>
      </w:r>
      <w:r w:rsidR="00C819FF" w:rsidRPr="0038473D">
        <w:rPr>
          <w:lang w:val="en-AU"/>
        </w:rPr>
        <w:fldChar w:fldCharType="end"/>
      </w:r>
      <w:r w:rsidRPr="006F4023">
        <w:rPr>
          <w:lang w:val="en-AU"/>
        </w:rPr>
        <w:t>. Two faults pass through the proposed development. The East Fault is a normal fault, whi</w:t>
      </w:r>
      <w:r w:rsidRPr="0038473D">
        <w:rPr>
          <w:lang w:val="en-AU"/>
        </w:rPr>
        <w:t xml:space="preserve">lst the West Fault is a reverse fault. </w:t>
      </w:r>
    </w:p>
    <w:p w14:paraId="78DA5A8F" w14:textId="77777777" w:rsidR="00445F7C" w:rsidRPr="006F4023" w:rsidRDefault="00445F7C" w:rsidP="00445F7C">
      <w:pPr>
        <w:pStyle w:val="BodyText"/>
        <w:rPr>
          <w:lang w:val="en-AU"/>
        </w:rPr>
      </w:pPr>
      <w:r w:rsidRPr="0038473D">
        <w:rPr>
          <w:b/>
          <w:bCs/>
          <w:lang w:val="en-AU"/>
        </w:rPr>
        <w:t>Groundwater Assets:</w:t>
      </w:r>
      <w:r w:rsidRPr="006F4023">
        <w:rPr>
          <w:lang w:val="en-AU"/>
        </w:rPr>
        <w:t xml:space="preserve"> Two key groundwater assets have been identified in the region. These are an aquifer used for irrigation and a GDE (</w:t>
      </w:r>
      <w:proofErr w:type="gramStart"/>
      <w:r w:rsidRPr="006F4023">
        <w:rPr>
          <w:lang w:val="en-AU"/>
        </w:rPr>
        <w:t>e.g.</w:t>
      </w:r>
      <w:proofErr w:type="gramEnd"/>
      <w:r w:rsidRPr="006F4023">
        <w:rPr>
          <w:lang w:val="en-AU"/>
        </w:rPr>
        <w:t xml:space="preserve"> riparian vegetation). The aquifer and the GDE occur to the south of both the proposed </w:t>
      </w:r>
      <w:r w:rsidRPr="006F4023">
        <w:rPr>
          <w:lang w:val="en-AU"/>
        </w:rPr>
        <w:lastRenderedPageBreak/>
        <w:t xml:space="preserve">open cut and the underground development. The GDE occurs near the surface trace of the East Fault, and the aquifer used for irrigation occurs near the West Fault. </w:t>
      </w:r>
    </w:p>
    <w:p w14:paraId="6BD110A4" w14:textId="77777777" w:rsidR="00445F7C" w:rsidRPr="006F4023" w:rsidRDefault="00445F7C" w:rsidP="00445F7C">
      <w:pPr>
        <w:pStyle w:val="BodyText"/>
        <w:rPr>
          <w:b/>
          <w:bCs/>
          <w:lang w:val="en-AU"/>
        </w:rPr>
      </w:pPr>
      <w:r w:rsidRPr="006F4023">
        <w:rPr>
          <w:b/>
          <w:bCs/>
          <w:lang w:val="en-AU"/>
        </w:rPr>
        <w:t xml:space="preserve">Key supporting data: </w:t>
      </w:r>
    </w:p>
    <w:p w14:paraId="4E78449C"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 xml:space="preserve">regional geological mapping and summary data from the state geological survey, </w:t>
      </w:r>
    </w:p>
    <w:p w14:paraId="76ECF733"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 xml:space="preserve">surface geological mapping, </w:t>
      </w:r>
    </w:p>
    <w:p w14:paraId="7BD45A42"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 xml:space="preserve">three seismic lines, </w:t>
      </w:r>
    </w:p>
    <w:p w14:paraId="1C978433"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water bore drilling records from the state government and groundwater drawdown and usage information,</w:t>
      </w:r>
    </w:p>
    <w:p w14:paraId="7BB7537E"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drilling data which define the coal thickness and continuity (coal resource assessment drilling),</w:t>
      </w:r>
    </w:p>
    <w:p w14:paraId="430B071A"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stratigraphic/structural drilling (drilling performed to constrain the faults and stratigraphy) and,</w:t>
      </w:r>
    </w:p>
    <w:p w14:paraId="191C53E1" w14:textId="77777777" w:rsidR="00445F7C" w:rsidRPr="006F4023" w:rsidRDefault="00445F7C" w:rsidP="00445F7C">
      <w:pPr>
        <w:pStyle w:val="06DOTPOINTS"/>
        <w:numPr>
          <w:ilvl w:val="0"/>
          <w:numId w:val="6"/>
        </w:numPr>
        <w:spacing w:line="240" w:lineRule="auto"/>
        <w:rPr>
          <w:rFonts w:ascii="Garamond" w:hAnsi="Garamond"/>
        </w:rPr>
      </w:pPr>
      <w:r w:rsidRPr="006F4023">
        <w:rPr>
          <w:rFonts w:ascii="Garamond" w:hAnsi="Garamond"/>
        </w:rPr>
        <w:t xml:space="preserve">drill logs for the coal resource and stratigraphical/structural drilling, which include geological and geotechnical information. </w:t>
      </w:r>
    </w:p>
    <w:p w14:paraId="6ECA93A3" w14:textId="28E5F938" w:rsidR="00445F7C" w:rsidRPr="006F4023" w:rsidRDefault="00445F7C" w:rsidP="00445F7C">
      <w:pPr>
        <w:pStyle w:val="BodyText"/>
        <w:rPr>
          <w:lang w:val="en-AU"/>
        </w:rPr>
      </w:pPr>
      <w:r w:rsidRPr="006F4023">
        <w:rPr>
          <w:b/>
          <w:bCs/>
          <w:lang w:val="en-AU"/>
        </w:rPr>
        <w:t>Fault Character – General:</w:t>
      </w:r>
      <w:r w:rsidRPr="006F4023">
        <w:rPr>
          <w:lang w:val="en-AU"/>
        </w:rPr>
        <w:t xml:space="preserve"> Both faults appear to be segmented, with small relay ramps. This is evident in the surface geological mapping, but difficult to see in the seismic lines, which are at oblique angles to the surface traces of the faults. The proposed open cut lies just to the north of relay ramps in both faults. Surface observations and mapping enabled the creation of a relatively detailed local stratigraphy for Aquifer B, and this can be used to infer the distribution of throw on the three segments of the East Fault (</w:t>
      </w:r>
      <w:r w:rsidR="00C819FF" w:rsidRPr="0038473D">
        <w:rPr>
          <w:lang w:val="en-AU"/>
        </w:rPr>
        <w:fldChar w:fldCharType="begin"/>
      </w:r>
      <w:r w:rsidR="00C819FF" w:rsidRPr="006F4023">
        <w:rPr>
          <w:lang w:val="en-AU"/>
        </w:rPr>
        <w:instrText xml:space="preserve"> REF _Ref57022475 \h </w:instrText>
      </w:r>
      <w:r w:rsidR="00C819FF" w:rsidRPr="0038473D">
        <w:rPr>
          <w:lang w:val="en-AU"/>
        </w:rPr>
      </w:r>
      <w:r w:rsidR="00C819FF" w:rsidRPr="0038473D">
        <w:rPr>
          <w:lang w:val="en-AU"/>
        </w:rPr>
        <w:fldChar w:fldCharType="separate"/>
      </w:r>
      <w:r w:rsidR="00047351" w:rsidRPr="0038473D">
        <w:t xml:space="preserve">Figure </w:t>
      </w:r>
      <w:r w:rsidR="00047351">
        <w:rPr>
          <w:noProof/>
        </w:rPr>
        <w:t>8</w:t>
      </w:r>
      <w:r w:rsidR="00C819FF" w:rsidRPr="0038473D">
        <w:rPr>
          <w:lang w:val="en-AU"/>
        </w:rPr>
        <w:fldChar w:fldCharType="end"/>
      </w:r>
      <w:r w:rsidRPr="006F4023">
        <w:rPr>
          <w:lang w:val="en-AU"/>
        </w:rPr>
        <w:t>). The throw distribution for the Wes</w:t>
      </w:r>
      <w:r w:rsidRPr="0038473D">
        <w:rPr>
          <w:lang w:val="en-AU"/>
        </w:rPr>
        <w:t xml:space="preserve">t Fault is more difficult to determine, because the total throw is significantly larger, and the detailed stratigraphy of Aquifer A is much more uniform, thus providing less constraint. </w:t>
      </w:r>
    </w:p>
    <w:p w14:paraId="6C8EB731" w14:textId="77777777" w:rsidR="00445F7C" w:rsidRPr="006F4023" w:rsidRDefault="00445F7C" w:rsidP="00445F7C">
      <w:pPr>
        <w:pStyle w:val="BodyText"/>
        <w:rPr>
          <w:lang w:val="en-AU"/>
        </w:rPr>
      </w:pPr>
      <w:r w:rsidRPr="006F4023">
        <w:rPr>
          <w:b/>
          <w:bCs/>
          <w:lang w:val="en-AU"/>
        </w:rPr>
        <w:t>Mechanical Stratigraphy:</w:t>
      </w:r>
      <w:r w:rsidRPr="006F4023">
        <w:rPr>
          <w:lang w:val="en-AU"/>
        </w:rPr>
        <w:t xml:space="preserve"> Aquifer A has a significantly different mechanical stratigraphy to Aquifer B, based on the lack of interbedded shale units in Aquifer A. Bed bounded fractures in Aquifer A could span from the surface to the coal measures, whilst in Aquifer B shale lenses will impede fracture propagation. Fracture networks form where there is a greater chance of individual fractures intersecting one another. Thus, a wide damage zone and tall fractures (Aquifer A) have a greater chance of connecting.</w:t>
      </w:r>
    </w:p>
    <w:p w14:paraId="3A16D10E" w14:textId="4E9BA822" w:rsidR="00445F7C" w:rsidRPr="0038473D" w:rsidRDefault="00445F7C" w:rsidP="00445F7C">
      <w:pPr>
        <w:pStyle w:val="BodyText"/>
        <w:rPr>
          <w:lang w:val="en-AU"/>
        </w:rPr>
      </w:pPr>
      <w:r w:rsidRPr="006F4023">
        <w:rPr>
          <w:b/>
          <w:bCs/>
          <w:lang w:val="en-AU"/>
        </w:rPr>
        <w:t>East Fault – Fault Zone Geometry:</w:t>
      </w:r>
      <w:r w:rsidRPr="006F4023">
        <w:rPr>
          <w:lang w:val="en-AU"/>
        </w:rPr>
        <w:t xml:space="preserve"> Using the throw distribution, a likely damage zone width for the East Fault can be estimated using published relationships. In this case we show the damage zone width estimates from Shipton (2001) as a function of total throw (</w:t>
      </w:r>
      <w:r w:rsidR="00C819FF" w:rsidRPr="0038473D">
        <w:rPr>
          <w:lang w:val="en-AU"/>
        </w:rPr>
        <w:fldChar w:fldCharType="begin"/>
      </w:r>
      <w:r w:rsidR="00C819FF" w:rsidRPr="006F4023">
        <w:rPr>
          <w:lang w:val="en-AU"/>
        </w:rPr>
        <w:instrText xml:space="preserve"> REF _Ref57022475 \h </w:instrText>
      </w:r>
      <w:r w:rsidR="00C819FF" w:rsidRPr="0038473D">
        <w:rPr>
          <w:lang w:val="en-AU"/>
        </w:rPr>
      </w:r>
      <w:r w:rsidR="00C819FF" w:rsidRPr="0038473D">
        <w:rPr>
          <w:lang w:val="en-AU"/>
        </w:rPr>
        <w:fldChar w:fldCharType="separate"/>
      </w:r>
      <w:r w:rsidR="00047351" w:rsidRPr="0038473D">
        <w:t xml:space="preserve">Figure </w:t>
      </w:r>
      <w:r w:rsidR="00047351">
        <w:rPr>
          <w:noProof/>
        </w:rPr>
        <w:t>8</w:t>
      </w:r>
      <w:r w:rsidR="00C819FF" w:rsidRPr="0038473D">
        <w:rPr>
          <w:lang w:val="en-AU"/>
        </w:rPr>
        <w:fldChar w:fldCharType="end"/>
      </w:r>
      <w:r w:rsidRPr="006F4023">
        <w:rPr>
          <w:lang w:val="en-AU"/>
        </w:rPr>
        <w:t>, part e).</w:t>
      </w:r>
    </w:p>
    <w:p w14:paraId="185EE27A" w14:textId="77777777" w:rsidR="00445F7C" w:rsidRPr="006F4023" w:rsidRDefault="00445F7C" w:rsidP="00445F7C">
      <w:pPr>
        <w:pStyle w:val="BodyText"/>
        <w:rPr>
          <w:lang w:val="en-AU"/>
        </w:rPr>
      </w:pPr>
      <w:r w:rsidRPr="0038473D">
        <w:rPr>
          <w:b/>
          <w:bCs/>
          <w:lang w:val="en-AU"/>
        </w:rPr>
        <w:t>We</w:t>
      </w:r>
      <w:r w:rsidRPr="006F4023">
        <w:rPr>
          <w:b/>
          <w:bCs/>
          <w:lang w:val="en-AU"/>
        </w:rPr>
        <w:t>st Fault – Fault Zone Geometry:</w:t>
      </w:r>
      <w:r w:rsidRPr="006F4023">
        <w:rPr>
          <w:lang w:val="en-AU"/>
        </w:rPr>
        <w:t xml:space="preserve"> Using the throw distribution for the West Fault, an estimated damage zone width can be obtained. Because this fault has greater throw and passes through Aquifer A, which is known to generate more connected fracturing, it appears likely that the damage zone width on this fault is substantially greater.</w:t>
      </w:r>
    </w:p>
    <w:p w14:paraId="0B231460" w14:textId="77777777" w:rsidR="00445F7C" w:rsidRPr="006F4023" w:rsidRDefault="00445F7C" w:rsidP="00445F7C">
      <w:pPr>
        <w:pStyle w:val="BodyText"/>
        <w:rPr>
          <w:lang w:val="en-AU"/>
        </w:rPr>
      </w:pPr>
      <w:r w:rsidRPr="006F4023">
        <w:rPr>
          <w:b/>
          <w:bCs/>
          <w:lang w:val="en-AU"/>
        </w:rPr>
        <w:t>Pathways General:</w:t>
      </w:r>
      <w:r w:rsidRPr="006F4023">
        <w:rPr>
          <w:lang w:val="en-AU"/>
        </w:rPr>
        <w:t xml:space="preserve"> For both the open cut and the underground development, there are potential pathways both along the fault zones (horizontally) and up-dip/down-dip (vertically). Conventional flow within Aquifer A and Aquifer B are also possible. Based on the mechanical stratigraphy information from Aquifer B, it appears that fracturing in the silty and shale rich portions of Aquifer B will be much less prevalent than within the sandier portions. In Aquifer A (in the footwall of the West Fault) damage zone width and fracturing might be much more extensive because this sandstone is more massive and continuous.</w:t>
      </w:r>
    </w:p>
    <w:p w14:paraId="5BD1673D" w14:textId="0ECE3EC2" w:rsidR="00445F7C" w:rsidRPr="006F4023" w:rsidRDefault="00445F7C" w:rsidP="00445F7C">
      <w:pPr>
        <w:pStyle w:val="BodyText"/>
        <w:rPr>
          <w:lang w:val="en-AU"/>
        </w:rPr>
      </w:pPr>
      <w:r w:rsidRPr="006F4023">
        <w:rPr>
          <w:b/>
          <w:bCs/>
          <w:lang w:val="en-AU"/>
        </w:rPr>
        <w:t>Pathways for Open Cut Development:</w:t>
      </w:r>
      <w:r w:rsidRPr="006F4023">
        <w:rPr>
          <w:lang w:val="en-AU"/>
        </w:rPr>
        <w:t xml:space="preserve"> For the initial open cut development, the pit exposes the East Fault and mines up to the West Fault (</w:t>
      </w:r>
      <w:r w:rsidR="00C819FF" w:rsidRPr="0038473D">
        <w:rPr>
          <w:lang w:val="en-AU"/>
        </w:rPr>
        <w:fldChar w:fldCharType="begin"/>
      </w:r>
      <w:r w:rsidR="00C819FF" w:rsidRPr="006F4023">
        <w:rPr>
          <w:lang w:val="en-AU"/>
        </w:rPr>
        <w:instrText xml:space="preserve"> REF _Ref57022475 \h </w:instrText>
      </w:r>
      <w:r w:rsidR="00C819FF" w:rsidRPr="0038473D">
        <w:rPr>
          <w:lang w:val="en-AU"/>
        </w:rPr>
      </w:r>
      <w:r w:rsidR="00C819FF" w:rsidRPr="0038473D">
        <w:rPr>
          <w:lang w:val="en-AU"/>
        </w:rPr>
        <w:fldChar w:fldCharType="separate"/>
      </w:r>
      <w:r w:rsidR="00047351" w:rsidRPr="0038473D">
        <w:t xml:space="preserve">Figure </w:t>
      </w:r>
      <w:r w:rsidR="00047351">
        <w:rPr>
          <w:noProof/>
        </w:rPr>
        <w:t>8</w:t>
      </w:r>
      <w:r w:rsidR="00C819FF" w:rsidRPr="0038473D">
        <w:rPr>
          <w:lang w:val="en-AU"/>
        </w:rPr>
        <w:fldChar w:fldCharType="end"/>
      </w:r>
      <w:r w:rsidRPr="006F4023">
        <w:rPr>
          <w:lang w:val="en-AU"/>
        </w:rPr>
        <w:t xml:space="preserve">, parts c and d). When providing hydraulic properties to groundwater </w:t>
      </w:r>
      <w:r w:rsidRPr="0038473D">
        <w:rPr>
          <w:lang w:val="en-AU"/>
        </w:rPr>
        <w:t xml:space="preserve">modellers, consideration of </w:t>
      </w:r>
      <w:r w:rsidRPr="006F4023">
        <w:rPr>
          <w:lang w:val="en-AU"/>
        </w:rPr>
        <w:t xml:space="preserve">fracture connectivity within the damage zone is essential. Connectivity to the GDE is possible along the strike of the East Fault. Connectivity is also possible along the West Fault, but the path would be longer. The drawdown and thus head difference for the open cut would be modest with little differential pressure along the fault. A stochastic modelling approach that includes discrete fracture flow could be used to assess the probability of pressure connectivity. </w:t>
      </w:r>
    </w:p>
    <w:p w14:paraId="0B726A20" w14:textId="51F45E36" w:rsidR="00445F7C" w:rsidRPr="006F4023" w:rsidRDefault="00445F7C" w:rsidP="00445F7C">
      <w:pPr>
        <w:pStyle w:val="BodyText"/>
        <w:rPr>
          <w:lang w:val="en-AU"/>
        </w:rPr>
      </w:pPr>
      <w:r w:rsidRPr="006F4023">
        <w:rPr>
          <w:b/>
          <w:bCs/>
          <w:lang w:val="en-AU"/>
        </w:rPr>
        <w:lastRenderedPageBreak/>
        <w:t>Pathways for Underground Development:</w:t>
      </w:r>
      <w:r w:rsidRPr="006F4023">
        <w:rPr>
          <w:lang w:val="en-AU"/>
        </w:rPr>
        <w:t xml:space="preserve"> For the underground development, the damage zones in the foot wall of the fault zone in Aquifer A might become much more important (</w:t>
      </w:r>
      <w:r w:rsidR="00C819FF" w:rsidRPr="0038473D">
        <w:rPr>
          <w:lang w:val="en-AU"/>
        </w:rPr>
        <w:fldChar w:fldCharType="begin"/>
      </w:r>
      <w:r w:rsidR="00C819FF" w:rsidRPr="006F4023">
        <w:rPr>
          <w:lang w:val="en-AU"/>
        </w:rPr>
        <w:instrText xml:space="preserve"> REF _Ref57022475 \h </w:instrText>
      </w:r>
      <w:r w:rsidR="00C819FF" w:rsidRPr="0038473D">
        <w:rPr>
          <w:lang w:val="en-AU"/>
        </w:rPr>
      </w:r>
      <w:r w:rsidR="00C819FF" w:rsidRPr="0038473D">
        <w:rPr>
          <w:lang w:val="en-AU"/>
        </w:rPr>
        <w:fldChar w:fldCharType="separate"/>
      </w:r>
      <w:r w:rsidR="00047351" w:rsidRPr="0038473D">
        <w:t xml:space="preserve">Figure </w:t>
      </w:r>
      <w:r w:rsidR="00047351">
        <w:rPr>
          <w:noProof/>
        </w:rPr>
        <w:t>8</w:t>
      </w:r>
      <w:r w:rsidR="00C819FF" w:rsidRPr="0038473D">
        <w:rPr>
          <w:lang w:val="en-AU"/>
        </w:rPr>
        <w:fldChar w:fldCharType="end"/>
      </w:r>
      <w:r w:rsidRPr="006F4023">
        <w:rPr>
          <w:lang w:val="en-AU"/>
        </w:rPr>
        <w:t>, parts f and g). With the underground development there is potential for connected fractures to the surface. With dewatering at the seam level there is the potential to gener</w:t>
      </w:r>
      <w:r w:rsidRPr="0038473D">
        <w:rPr>
          <w:lang w:val="en-AU"/>
        </w:rPr>
        <w:t xml:space="preserve">ate very significant head and thus pressure differences, within the fault zone. Thus, it seems likely that flow along the West Fault will be the most significant pathway. </w:t>
      </w:r>
    </w:p>
    <w:p w14:paraId="3F5E14BB" w14:textId="1C5C59C2" w:rsidR="00445F7C" w:rsidRPr="006F4023" w:rsidRDefault="00445F7C" w:rsidP="00445F7C">
      <w:pPr>
        <w:pStyle w:val="BodyText"/>
        <w:rPr>
          <w:lang w:val="en-AU"/>
        </w:rPr>
      </w:pPr>
      <w:r w:rsidRPr="006F4023">
        <w:rPr>
          <w:b/>
          <w:bCs/>
          <w:lang w:val="en-AU"/>
        </w:rPr>
        <w:t>Pathways Summary:</w:t>
      </w:r>
      <w:r w:rsidRPr="006F4023">
        <w:rPr>
          <w:lang w:val="en-AU"/>
        </w:rPr>
        <w:t xml:space="preserve"> Importantly, even when considering the same fault, the analysis of potential flow pathways is different for the open cut and for the underground development (</w:t>
      </w:r>
      <w:r w:rsidR="00C819FF" w:rsidRPr="0038473D">
        <w:rPr>
          <w:lang w:val="en-AU"/>
        </w:rPr>
        <w:fldChar w:fldCharType="begin"/>
      </w:r>
      <w:r w:rsidR="00C819FF" w:rsidRPr="006F4023">
        <w:rPr>
          <w:lang w:val="en-AU"/>
        </w:rPr>
        <w:instrText xml:space="preserve"> REF _Ref57022475 \h </w:instrText>
      </w:r>
      <w:r w:rsidR="00C819FF" w:rsidRPr="0038473D">
        <w:rPr>
          <w:lang w:val="en-AU"/>
        </w:rPr>
      </w:r>
      <w:r w:rsidR="00C819FF" w:rsidRPr="0038473D">
        <w:rPr>
          <w:lang w:val="en-AU"/>
        </w:rPr>
        <w:fldChar w:fldCharType="separate"/>
      </w:r>
      <w:r w:rsidR="00047351" w:rsidRPr="0038473D">
        <w:t xml:space="preserve">Figure </w:t>
      </w:r>
      <w:r w:rsidR="00047351">
        <w:rPr>
          <w:noProof/>
        </w:rPr>
        <w:t>8</w:t>
      </w:r>
      <w:r w:rsidR="00C819FF" w:rsidRPr="0038473D">
        <w:rPr>
          <w:lang w:val="en-AU"/>
        </w:rPr>
        <w:fldChar w:fldCharType="end"/>
      </w:r>
      <w:r w:rsidRPr="006F4023">
        <w:rPr>
          <w:lang w:val="en-AU"/>
        </w:rPr>
        <w:t xml:space="preserve">, parts d and g). The driving force or groundwater pressure differences will also vary </w:t>
      </w:r>
      <w:r w:rsidRPr="0038473D">
        <w:rPr>
          <w:lang w:val="en-AU"/>
        </w:rPr>
        <w:t>substantially for the two project phases. This highlights the need to clearly define the geometry of the fault network in relationship to the assets and developments, prior to assessing pathways.</w:t>
      </w:r>
    </w:p>
    <w:p w14:paraId="174E323D" w14:textId="67802229" w:rsidR="00445F7C" w:rsidRPr="006F4023" w:rsidRDefault="00445F7C" w:rsidP="00445F7C">
      <w:pPr>
        <w:pStyle w:val="BodyText"/>
        <w:rPr>
          <w:lang w:val="en-AU"/>
        </w:rPr>
        <w:sectPr w:rsidR="00445F7C" w:rsidRPr="006F4023" w:rsidSect="00313C0C">
          <w:pgSz w:w="11906" w:h="16838" w:code="9"/>
          <w:pgMar w:top="1701" w:right="1418" w:bottom="1418" w:left="1418" w:header="567" w:footer="567" w:gutter="0"/>
          <w:cols w:space="708"/>
          <w:docGrid w:linePitch="360"/>
        </w:sectPr>
      </w:pPr>
      <w:r w:rsidRPr="006F4023">
        <w:rPr>
          <w:b/>
          <w:bCs/>
          <w:lang w:val="en-AU"/>
        </w:rPr>
        <w:t>Flow Modelling and Risk Assessment:</w:t>
      </w:r>
      <w:r w:rsidRPr="006F4023">
        <w:rPr>
          <w:lang w:val="en-AU"/>
        </w:rPr>
        <w:t xml:space="preserve"> In this scenario the western fault static hydrogeological character remains the same for both the open cut and the underground development. Despite this the fault could be expected to have a very different risk for the open cut versus the underground extension. Flow modelling which accounts for the identified fault related flow pathways and the uncertainties associated with them, followed by a comparative risk analysis would enable the identification of causal pathways. </w:t>
      </w:r>
    </w:p>
    <w:p w14:paraId="2DE9FBA5" w14:textId="61B5CC90" w:rsidR="00445F7C" w:rsidRPr="006F4023" w:rsidRDefault="007F3E43" w:rsidP="00445F7C">
      <w:pPr>
        <w:pStyle w:val="Caption"/>
      </w:pPr>
      <w:r>
        <w:rPr>
          <w:noProof/>
          <w:lang w:eastAsia="en-AU"/>
        </w:rPr>
        <w:lastRenderedPageBreak/>
        <w:drawing>
          <wp:inline distT="0" distB="0" distL="0" distR="0" wp14:anchorId="4A721338" wp14:editId="5CCED838">
            <wp:extent cx="8103235" cy="54578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137958" cy="5481212"/>
                    </a:xfrm>
                    <a:prstGeom prst="rect">
                      <a:avLst/>
                    </a:prstGeom>
                    <a:noFill/>
                  </pic:spPr>
                </pic:pic>
              </a:graphicData>
            </a:graphic>
          </wp:inline>
        </w:drawing>
      </w:r>
    </w:p>
    <w:p w14:paraId="0467A63D" w14:textId="72166C38" w:rsidR="00445F7C" w:rsidRPr="0038473D" w:rsidRDefault="00AD5EDF" w:rsidP="00445F7C">
      <w:pPr>
        <w:pStyle w:val="Caption"/>
        <w:sectPr w:rsidR="00445F7C" w:rsidRPr="0038473D" w:rsidSect="00165B18">
          <w:pgSz w:w="16838" w:h="11906" w:orient="landscape" w:code="9"/>
          <w:pgMar w:top="1418" w:right="1701" w:bottom="1418" w:left="1418" w:header="567" w:footer="567" w:gutter="0"/>
          <w:cols w:space="708"/>
          <w:docGrid w:linePitch="360"/>
        </w:sectPr>
      </w:pPr>
      <w:bookmarkStart w:id="466" w:name="_Ref57022475"/>
      <w:r w:rsidRPr="0038473D">
        <w:t xml:space="preserve">Figure </w:t>
      </w:r>
      <w:r w:rsidRPr="0038473D">
        <w:fldChar w:fldCharType="begin"/>
      </w:r>
      <w:r w:rsidRPr="006F4023">
        <w:instrText xml:space="preserve"> SEQ Figure \* ARABIC </w:instrText>
      </w:r>
      <w:r w:rsidRPr="0038473D">
        <w:fldChar w:fldCharType="separate"/>
      </w:r>
      <w:r w:rsidR="00047351">
        <w:rPr>
          <w:noProof/>
        </w:rPr>
        <w:t>8</w:t>
      </w:r>
      <w:r w:rsidRPr="0038473D">
        <w:fldChar w:fldCharType="end"/>
      </w:r>
      <w:bookmarkEnd w:id="466"/>
      <w:r w:rsidRPr="006F4023">
        <w:t>:</w:t>
      </w:r>
      <w:r w:rsidR="00445F7C" w:rsidRPr="0038473D">
        <w:t xml:space="preserve"> Conceptual diagram of a ‘no regional aquitard’ scenario.</w:t>
      </w:r>
    </w:p>
    <w:p w14:paraId="6990B4A5" w14:textId="7EA4EC40" w:rsidR="00741420" w:rsidRPr="006F4023" w:rsidRDefault="00741420" w:rsidP="00741420">
      <w:pPr>
        <w:pStyle w:val="Heading1Numbered"/>
      </w:pPr>
      <w:bookmarkStart w:id="467" w:name="_Toc66967235"/>
      <w:r w:rsidRPr="006F4023">
        <w:lastRenderedPageBreak/>
        <w:t>E</w:t>
      </w:r>
      <w:r w:rsidRPr="0038473D">
        <w:t>xample S</w:t>
      </w:r>
      <w:r w:rsidRPr="006F4023">
        <w:t>cenario C</w:t>
      </w:r>
      <w:r w:rsidR="00B73009" w:rsidRPr="006F4023">
        <w:br/>
        <w:t>Cases where faults are potentially important within aquifer-aquitard systems</w:t>
      </w:r>
      <w:bookmarkEnd w:id="467"/>
    </w:p>
    <w:p w14:paraId="0FD41F3B" w14:textId="77777777" w:rsidR="00B73009" w:rsidRPr="006F4023" w:rsidRDefault="00B73009" w:rsidP="00B73009">
      <w:pPr>
        <w:pStyle w:val="BodyText"/>
        <w:rPr>
          <w:lang w:val="en-AU"/>
        </w:rPr>
      </w:pPr>
      <w:r w:rsidRPr="006F4023">
        <w:rPr>
          <w:lang w:val="en-AU"/>
        </w:rPr>
        <w:t>In this scenario multiple aquifers and aquitards that are truncated by faults are considered. Throw, on at least one of the faults, is large enough that one or more of the aquitards are breached, and cross fault juxtapositions become important flow pathways. For this scenario, a stack of semi-confined aquifers requires consideration of groundwater flow downwards through a series of aquifers and across or along faults. It may be that a deeper aquifer is supporting a shallower aquifer via a fault juxtaposition window between the two aquifers. In this scenario the macro-scale geometry of the faults, aquitards, aquifers, and coal may all have a primary influence on flow through the system.</w:t>
      </w:r>
    </w:p>
    <w:p w14:paraId="57BEE12A" w14:textId="77777777" w:rsidR="00B73009" w:rsidRPr="002A7BAB" w:rsidRDefault="00B73009" w:rsidP="00B73009">
      <w:pPr>
        <w:pStyle w:val="Heading2"/>
      </w:pPr>
      <w:bookmarkStart w:id="468" w:name="_Toc42765122"/>
      <w:bookmarkStart w:id="469" w:name="_Toc66967236"/>
      <w:r w:rsidRPr="002A7BAB">
        <w:t>Initial risk profile given geology and groundwater conditions</w:t>
      </w:r>
      <w:bookmarkEnd w:id="468"/>
      <w:bookmarkEnd w:id="469"/>
    </w:p>
    <w:p w14:paraId="50D0F414" w14:textId="77777777" w:rsidR="00B73009" w:rsidRPr="0038473D" w:rsidRDefault="00B73009" w:rsidP="00B73009">
      <w:pPr>
        <w:pStyle w:val="06DOTPOINTS"/>
        <w:numPr>
          <w:ilvl w:val="0"/>
          <w:numId w:val="6"/>
        </w:numPr>
        <w:spacing w:line="240" w:lineRule="auto"/>
        <w:rPr>
          <w:rFonts w:ascii="Garamond" w:hAnsi="Garamond"/>
        </w:rPr>
      </w:pPr>
      <w:r w:rsidRPr="006F4023">
        <w:rPr>
          <w:rFonts w:ascii="Garamond" w:hAnsi="Garamond"/>
        </w:rPr>
        <w:t>Flow may occur across faults between aquifers through juxtaposition w</w:t>
      </w:r>
      <w:r w:rsidRPr="0038473D">
        <w:rPr>
          <w:rFonts w:ascii="Garamond" w:hAnsi="Garamond"/>
        </w:rPr>
        <w:t>indows.</w:t>
      </w:r>
    </w:p>
    <w:p w14:paraId="7B308BB6" w14:textId="77777777" w:rsidR="00B73009" w:rsidRPr="006F4023" w:rsidRDefault="00B73009" w:rsidP="00B73009">
      <w:pPr>
        <w:pStyle w:val="06DOTPOINTS"/>
        <w:numPr>
          <w:ilvl w:val="0"/>
          <w:numId w:val="6"/>
        </w:numPr>
        <w:spacing w:line="240" w:lineRule="auto"/>
        <w:rPr>
          <w:rFonts w:ascii="Garamond" w:hAnsi="Garamond"/>
        </w:rPr>
      </w:pPr>
      <w:r w:rsidRPr="006F4023">
        <w:rPr>
          <w:rFonts w:ascii="Garamond" w:hAnsi="Garamond"/>
        </w:rPr>
        <w:t xml:space="preserve">Flow pathways between the asset and the coal may include combinations of </w:t>
      </w:r>
    </w:p>
    <w:p w14:paraId="106CCD44" w14:textId="77777777" w:rsidR="00B73009" w:rsidRPr="006F4023" w:rsidRDefault="00B73009" w:rsidP="00B73009">
      <w:pPr>
        <w:pStyle w:val="06DOTPOINTS"/>
        <w:numPr>
          <w:ilvl w:val="1"/>
          <w:numId w:val="6"/>
        </w:numPr>
        <w:spacing w:line="240" w:lineRule="auto"/>
        <w:rPr>
          <w:rFonts w:ascii="Garamond" w:hAnsi="Garamond"/>
        </w:rPr>
      </w:pPr>
      <w:r w:rsidRPr="006F4023">
        <w:rPr>
          <w:rFonts w:ascii="Garamond" w:hAnsi="Garamond"/>
        </w:rPr>
        <w:t xml:space="preserve">matrix flow through the aquifer(s), </w:t>
      </w:r>
    </w:p>
    <w:p w14:paraId="390B5ED4" w14:textId="77777777" w:rsidR="00B73009" w:rsidRPr="006F4023" w:rsidRDefault="00B73009" w:rsidP="00B73009">
      <w:pPr>
        <w:pStyle w:val="06DOTPOINTS"/>
        <w:numPr>
          <w:ilvl w:val="1"/>
          <w:numId w:val="6"/>
        </w:numPr>
        <w:spacing w:line="240" w:lineRule="auto"/>
        <w:rPr>
          <w:rFonts w:ascii="Garamond" w:hAnsi="Garamond"/>
        </w:rPr>
      </w:pPr>
      <w:r w:rsidRPr="006F4023">
        <w:rPr>
          <w:rFonts w:ascii="Garamond" w:hAnsi="Garamond"/>
        </w:rPr>
        <w:t>matrix flow across faults, and</w:t>
      </w:r>
    </w:p>
    <w:p w14:paraId="0441BC8B" w14:textId="77777777" w:rsidR="00B73009" w:rsidRPr="006F4023" w:rsidRDefault="00B73009" w:rsidP="00B73009">
      <w:pPr>
        <w:pStyle w:val="06DOTPOINTS"/>
        <w:numPr>
          <w:ilvl w:val="1"/>
          <w:numId w:val="6"/>
        </w:numPr>
        <w:spacing w:line="240" w:lineRule="auto"/>
        <w:rPr>
          <w:rFonts w:ascii="Garamond" w:hAnsi="Garamond"/>
        </w:rPr>
      </w:pPr>
      <w:r w:rsidRPr="006F4023">
        <w:rPr>
          <w:rFonts w:ascii="Garamond" w:hAnsi="Garamond"/>
        </w:rPr>
        <w:t>fracture flow along fault damage zones.</w:t>
      </w:r>
    </w:p>
    <w:p w14:paraId="68EAC595" w14:textId="77777777" w:rsidR="00B73009" w:rsidRPr="006F4023" w:rsidRDefault="00B73009" w:rsidP="00B73009">
      <w:pPr>
        <w:pStyle w:val="06DOTPOINTS"/>
        <w:numPr>
          <w:ilvl w:val="0"/>
          <w:numId w:val="6"/>
        </w:numPr>
        <w:spacing w:line="240" w:lineRule="auto"/>
        <w:rPr>
          <w:rFonts w:ascii="Garamond" w:hAnsi="Garamond"/>
        </w:rPr>
      </w:pPr>
      <w:r w:rsidRPr="006F4023">
        <w:rPr>
          <w:rFonts w:ascii="Garamond" w:hAnsi="Garamond"/>
        </w:rPr>
        <w:t>Propagation of depressurisation upwards along complex flow pathways involving faults may drawdown shallower aquifers that would otherwise be isolated by aquitards.</w:t>
      </w:r>
    </w:p>
    <w:p w14:paraId="11AAE1F6" w14:textId="77777777" w:rsidR="00B73009" w:rsidRPr="006F4023" w:rsidRDefault="00B73009" w:rsidP="00B73009">
      <w:pPr>
        <w:pStyle w:val="06DOTPOINTS"/>
        <w:numPr>
          <w:ilvl w:val="0"/>
          <w:numId w:val="6"/>
        </w:numPr>
        <w:spacing w:line="240" w:lineRule="auto"/>
        <w:rPr>
          <w:rFonts w:ascii="Garamond" w:hAnsi="Garamond"/>
        </w:rPr>
      </w:pPr>
      <w:r w:rsidRPr="006F4023">
        <w:rPr>
          <w:rFonts w:ascii="Garamond" w:hAnsi="Garamond"/>
        </w:rPr>
        <w:t xml:space="preserve">Conversely, some of the aquifers may remain isolated because the faults do not juxtapose them against other flow units. </w:t>
      </w:r>
    </w:p>
    <w:p w14:paraId="63AB655E" w14:textId="77777777" w:rsidR="00B73009" w:rsidRPr="006F4023" w:rsidRDefault="00B73009" w:rsidP="00B73009">
      <w:pPr>
        <w:pStyle w:val="06DOTPOINTS"/>
        <w:numPr>
          <w:ilvl w:val="0"/>
          <w:numId w:val="6"/>
        </w:numPr>
        <w:spacing w:line="240" w:lineRule="auto"/>
        <w:rPr>
          <w:rFonts w:ascii="Garamond" w:hAnsi="Garamond"/>
        </w:rPr>
      </w:pPr>
      <w:r w:rsidRPr="006F4023">
        <w:rPr>
          <w:rFonts w:ascii="Garamond" w:hAnsi="Garamond"/>
        </w:rPr>
        <w:t xml:space="preserve">In some </w:t>
      </w:r>
      <w:proofErr w:type="gramStart"/>
      <w:r w:rsidRPr="006F4023">
        <w:rPr>
          <w:rFonts w:ascii="Garamond" w:hAnsi="Garamond"/>
        </w:rPr>
        <w:t>cases</w:t>
      </w:r>
      <w:proofErr w:type="gramEnd"/>
      <w:r w:rsidRPr="006F4023">
        <w:rPr>
          <w:rFonts w:ascii="Garamond" w:hAnsi="Garamond"/>
        </w:rPr>
        <w:t xml:space="preserve"> fine grained fault zone material (fault gouge or </w:t>
      </w:r>
      <w:proofErr w:type="spellStart"/>
      <w:r w:rsidRPr="006F4023">
        <w:rPr>
          <w:rFonts w:ascii="Garamond" w:hAnsi="Garamond"/>
        </w:rPr>
        <w:t>cataclastic</w:t>
      </w:r>
      <w:proofErr w:type="spellEnd"/>
      <w:r w:rsidRPr="006F4023">
        <w:rPr>
          <w:rFonts w:ascii="Garamond" w:hAnsi="Garamond"/>
        </w:rPr>
        <w:t xml:space="preserve"> material) may result in flow reductions across the faults.</w:t>
      </w:r>
    </w:p>
    <w:p w14:paraId="415CC088" w14:textId="77777777" w:rsidR="00B73009" w:rsidRPr="006F4023" w:rsidRDefault="00B73009" w:rsidP="00B73009">
      <w:pPr>
        <w:pStyle w:val="Heading3"/>
      </w:pPr>
      <w:bookmarkStart w:id="470" w:name="_Toc42765123"/>
      <w:bookmarkStart w:id="471" w:name="_Toc66967237"/>
      <w:r w:rsidRPr="006F4023">
        <w:t>Site based evidence</w:t>
      </w:r>
      <w:bookmarkEnd w:id="470"/>
      <w:bookmarkEnd w:id="471"/>
    </w:p>
    <w:p w14:paraId="1E530523" w14:textId="77777777" w:rsidR="00B73009" w:rsidRPr="006F4023" w:rsidRDefault="00B73009" w:rsidP="00B73009">
      <w:pPr>
        <w:pStyle w:val="06DOTPOINTS"/>
        <w:numPr>
          <w:ilvl w:val="0"/>
          <w:numId w:val="6"/>
        </w:numPr>
        <w:spacing w:line="240" w:lineRule="auto"/>
        <w:rPr>
          <w:rFonts w:ascii="Garamond" w:hAnsi="Garamond"/>
        </w:rPr>
      </w:pPr>
      <w:r w:rsidRPr="006F4023">
        <w:rPr>
          <w:rFonts w:ascii="Garamond" w:hAnsi="Garamond"/>
        </w:rPr>
        <w:t>Analysis of local and regional cross sections and maps that document a geologically consistent stratigraphy, fault architecture, and the temporal deposition environments for the aquitards and aquifers.</w:t>
      </w:r>
    </w:p>
    <w:p w14:paraId="71F8E07C" w14:textId="77777777" w:rsidR="00B73009" w:rsidRPr="006F4023" w:rsidRDefault="00B73009" w:rsidP="00B73009">
      <w:pPr>
        <w:pStyle w:val="06DOTPOINTS"/>
        <w:numPr>
          <w:ilvl w:val="0"/>
          <w:numId w:val="6"/>
        </w:numPr>
        <w:spacing w:line="240" w:lineRule="auto"/>
        <w:rPr>
          <w:rFonts w:ascii="Garamond" w:hAnsi="Garamond"/>
        </w:rPr>
      </w:pPr>
      <w:r w:rsidRPr="006F4023">
        <w:rPr>
          <w:rFonts w:ascii="Garamond" w:hAnsi="Garamond"/>
        </w:rPr>
        <w:t>At project scale, coherent and consistent structure contour maps, cross sections, and a well-documented local stratigraphy (summary of aquitard/aquifer thicknesses) are essential. These could include:</w:t>
      </w:r>
    </w:p>
    <w:p w14:paraId="73C8EDE7" w14:textId="77777777" w:rsidR="00B73009" w:rsidRPr="006F4023" w:rsidRDefault="00B73009" w:rsidP="00B73009">
      <w:pPr>
        <w:pStyle w:val="06DOTPOINTS"/>
        <w:numPr>
          <w:ilvl w:val="1"/>
          <w:numId w:val="6"/>
        </w:numPr>
        <w:spacing w:line="240" w:lineRule="auto"/>
        <w:rPr>
          <w:rFonts w:ascii="Garamond" w:hAnsi="Garamond"/>
        </w:rPr>
      </w:pPr>
      <w:r w:rsidRPr="006F4023">
        <w:rPr>
          <w:rFonts w:ascii="Garamond" w:hAnsi="Garamond"/>
        </w:rPr>
        <w:t>multiple depth structure contour maps for the top and base of key horizons/</w:t>
      </w:r>
      <w:proofErr w:type="gramStart"/>
      <w:r w:rsidRPr="006F4023">
        <w:rPr>
          <w:rFonts w:ascii="Garamond" w:hAnsi="Garamond"/>
        </w:rPr>
        <w:t>levels;</w:t>
      </w:r>
      <w:proofErr w:type="gramEnd"/>
      <w:r w:rsidRPr="006F4023">
        <w:rPr>
          <w:rFonts w:ascii="Garamond" w:hAnsi="Garamond"/>
        </w:rPr>
        <w:t xml:space="preserve"> </w:t>
      </w:r>
    </w:p>
    <w:p w14:paraId="7E5BB6AB" w14:textId="77777777" w:rsidR="00B73009" w:rsidRPr="006F4023" w:rsidRDefault="00B73009" w:rsidP="00B73009">
      <w:pPr>
        <w:pStyle w:val="06DOTPOINTS"/>
        <w:numPr>
          <w:ilvl w:val="1"/>
          <w:numId w:val="6"/>
        </w:numPr>
        <w:spacing w:line="240" w:lineRule="auto"/>
        <w:rPr>
          <w:rFonts w:ascii="Garamond" w:hAnsi="Garamond"/>
        </w:rPr>
      </w:pPr>
      <w:r w:rsidRPr="006F4023">
        <w:rPr>
          <w:rFonts w:ascii="Garamond" w:hAnsi="Garamond"/>
        </w:rPr>
        <w:t>isopach maps for the aquifers and aquitards; and</w:t>
      </w:r>
    </w:p>
    <w:p w14:paraId="1F7BB2C9" w14:textId="77777777" w:rsidR="00B73009" w:rsidRPr="006F4023" w:rsidRDefault="00B73009" w:rsidP="00B73009">
      <w:pPr>
        <w:pStyle w:val="06DOTPOINTS"/>
        <w:numPr>
          <w:ilvl w:val="1"/>
          <w:numId w:val="6"/>
        </w:numPr>
        <w:spacing w:line="240" w:lineRule="auto"/>
        <w:rPr>
          <w:rFonts w:ascii="Garamond" w:hAnsi="Garamond"/>
        </w:rPr>
      </w:pPr>
      <w:r w:rsidRPr="006F4023">
        <w:rPr>
          <w:rFonts w:ascii="Garamond" w:hAnsi="Garamond"/>
        </w:rPr>
        <w:t>description and assessment of the aquitards and aquifers.</w:t>
      </w:r>
    </w:p>
    <w:p w14:paraId="67869BD0" w14:textId="62168D3C" w:rsidR="00B73009" w:rsidRPr="006F4023" w:rsidRDefault="00B73009" w:rsidP="00B73009">
      <w:pPr>
        <w:pStyle w:val="06DOTPOINTS"/>
        <w:numPr>
          <w:ilvl w:val="0"/>
          <w:numId w:val="6"/>
        </w:numPr>
        <w:spacing w:line="240" w:lineRule="auto"/>
        <w:rPr>
          <w:rFonts w:ascii="Garamond" w:hAnsi="Garamond"/>
        </w:rPr>
      </w:pPr>
      <w:r w:rsidRPr="006F4023">
        <w:rPr>
          <w:rFonts w:ascii="Garamond" w:hAnsi="Garamond"/>
        </w:rPr>
        <w:t>Given that fault juxtapositions and their areas are important in this scenario the construction of Allan Maps (</w:t>
      </w:r>
      <w:r w:rsidR="006C7EEF" w:rsidRPr="006C7EEF">
        <w:rPr>
          <w:rFonts w:ascii="Garamond" w:hAnsi="Garamond"/>
        </w:rPr>
        <w:fldChar w:fldCharType="begin"/>
      </w:r>
      <w:r w:rsidR="006C7EEF" w:rsidRPr="006C7EEF">
        <w:rPr>
          <w:rFonts w:ascii="Garamond" w:hAnsi="Garamond"/>
        </w:rPr>
        <w:instrText xml:space="preserve"> REF _Ref57022554 \h </w:instrText>
      </w:r>
      <w:r w:rsidR="006C7EEF">
        <w:rPr>
          <w:rFonts w:ascii="Garamond" w:hAnsi="Garamond"/>
        </w:rPr>
        <w:instrText xml:space="preserve"> \* MERGEFORMAT </w:instrText>
      </w:r>
      <w:r w:rsidR="006C7EEF" w:rsidRPr="006C7EEF">
        <w:rPr>
          <w:rFonts w:ascii="Garamond" w:hAnsi="Garamond"/>
        </w:rPr>
      </w:r>
      <w:r w:rsidR="006C7EEF" w:rsidRPr="006C7EEF">
        <w:rPr>
          <w:rFonts w:ascii="Garamond" w:hAnsi="Garamond"/>
        </w:rPr>
        <w:fldChar w:fldCharType="separate"/>
      </w:r>
      <w:r w:rsidR="00047351" w:rsidRPr="00047351">
        <w:rPr>
          <w:rFonts w:ascii="Garamond" w:hAnsi="Garamond"/>
        </w:rPr>
        <w:t xml:space="preserve">Figure </w:t>
      </w:r>
      <w:r w:rsidR="00047351" w:rsidRPr="00047351">
        <w:rPr>
          <w:rFonts w:ascii="Garamond" w:hAnsi="Garamond"/>
          <w:noProof/>
        </w:rPr>
        <w:t>9</w:t>
      </w:r>
      <w:r w:rsidR="006C7EEF" w:rsidRPr="006C7EEF">
        <w:rPr>
          <w:rFonts w:ascii="Garamond" w:hAnsi="Garamond"/>
        </w:rPr>
        <w:fldChar w:fldCharType="end"/>
      </w:r>
      <w:r w:rsidRPr="006F4023">
        <w:rPr>
          <w:rFonts w:ascii="Garamond" w:hAnsi="Garamond"/>
        </w:rPr>
        <w:t xml:space="preserve">, part c) for representative </w:t>
      </w:r>
      <w:r w:rsidR="00210F63" w:rsidRPr="006F4023">
        <w:rPr>
          <w:rFonts w:ascii="Garamond" w:hAnsi="Garamond"/>
        </w:rPr>
        <w:t xml:space="preserve">of </w:t>
      </w:r>
      <w:r w:rsidRPr="006F4023">
        <w:rPr>
          <w:rFonts w:ascii="Garamond" w:hAnsi="Garamond"/>
        </w:rPr>
        <w:t>key faults (or a significant series of cross sections orthogonal to each fault) is strongly encouraged. Fault triangle diagrams (</w:t>
      </w:r>
      <w:r w:rsidR="006C7EEF" w:rsidRPr="006C7EEF">
        <w:rPr>
          <w:rFonts w:ascii="Garamond" w:hAnsi="Garamond"/>
        </w:rPr>
        <w:fldChar w:fldCharType="begin"/>
      </w:r>
      <w:r w:rsidR="006C7EEF" w:rsidRPr="006C7EEF">
        <w:rPr>
          <w:rFonts w:ascii="Garamond" w:hAnsi="Garamond"/>
        </w:rPr>
        <w:instrText xml:space="preserve"> REF _Ref57022554 \h </w:instrText>
      </w:r>
      <w:r w:rsidR="006C7EEF">
        <w:rPr>
          <w:rFonts w:ascii="Garamond" w:hAnsi="Garamond"/>
        </w:rPr>
        <w:instrText xml:space="preserve"> \* MERGEFORMAT </w:instrText>
      </w:r>
      <w:r w:rsidR="006C7EEF" w:rsidRPr="006C7EEF">
        <w:rPr>
          <w:rFonts w:ascii="Garamond" w:hAnsi="Garamond"/>
        </w:rPr>
      </w:r>
      <w:r w:rsidR="006C7EEF" w:rsidRPr="006C7EEF">
        <w:rPr>
          <w:rFonts w:ascii="Garamond" w:hAnsi="Garamond"/>
        </w:rPr>
        <w:fldChar w:fldCharType="separate"/>
      </w:r>
      <w:r w:rsidR="00047351" w:rsidRPr="00047351">
        <w:rPr>
          <w:rFonts w:ascii="Garamond" w:hAnsi="Garamond"/>
        </w:rPr>
        <w:t xml:space="preserve">Figure </w:t>
      </w:r>
      <w:r w:rsidR="00047351" w:rsidRPr="00047351">
        <w:rPr>
          <w:rFonts w:ascii="Garamond" w:hAnsi="Garamond"/>
          <w:noProof/>
        </w:rPr>
        <w:t>9</w:t>
      </w:r>
      <w:r w:rsidR="006C7EEF" w:rsidRPr="006C7EEF">
        <w:rPr>
          <w:rFonts w:ascii="Garamond" w:hAnsi="Garamond"/>
        </w:rPr>
        <w:fldChar w:fldCharType="end"/>
      </w:r>
      <w:r w:rsidRPr="006F4023">
        <w:rPr>
          <w:rFonts w:ascii="Garamond" w:hAnsi="Garamond"/>
        </w:rPr>
        <w:t xml:space="preserve">, part d) and cross sections can also be used to illustrate the juxtapositions that are likely to occur. </w:t>
      </w:r>
    </w:p>
    <w:p w14:paraId="32146FC0" w14:textId="77777777" w:rsidR="00B73009" w:rsidRPr="006F4023" w:rsidRDefault="00B73009" w:rsidP="00B73009">
      <w:pPr>
        <w:pStyle w:val="06DOTPOINTS"/>
        <w:numPr>
          <w:ilvl w:val="0"/>
          <w:numId w:val="6"/>
        </w:numPr>
        <w:spacing w:line="240" w:lineRule="auto"/>
        <w:rPr>
          <w:rFonts w:ascii="Garamond" w:hAnsi="Garamond"/>
        </w:rPr>
      </w:pPr>
      <w:r w:rsidRPr="006F4023">
        <w:rPr>
          <w:rFonts w:ascii="Garamond" w:hAnsi="Garamond"/>
        </w:rPr>
        <w:t>In cases where “no-flow” fault barriers are possible, juxtaposition analysis and extensive site-specific aquifer pumping tests from both sides of the fault, and along strike of the fault are recommended. In addition, characterisation of the fault zone materials, including characterisation of the fault core (fine grained gouge or fault rock) and the character of any damage zones are essential to predict potential impacts of a development.</w:t>
      </w:r>
    </w:p>
    <w:p w14:paraId="550FF5E3" w14:textId="77777777" w:rsidR="00B73009" w:rsidRPr="006F4023" w:rsidRDefault="00B73009" w:rsidP="00B73009">
      <w:pPr>
        <w:pStyle w:val="06DOTPOINTS"/>
        <w:numPr>
          <w:ilvl w:val="0"/>
          <w:numId w:val="6"/>
        </w:numPr>
        <w:spacing w:line="240" w:lineRule="auto"/>
        <w:rPr>
          <w:rFonts w:ascii="Garamond" w:hAnsi="Garamond"/>
        </w:rPr>
      </w:pPr>
      <w:r w:rsidRPr="006F4023">
        <w:rPr>
          <w:rFonts w:ascii="Garamond" w:hAnsi="Garamond"/>
        </w:rPr>
        <w:t>Analysis of environmental water tracers (</w:t>
      </w:r>
      <w:proofErr w:type="gramStart"/>
      <w:r w:rsidRPr="006F4023">
        <w:rPr>
          <w:rFonts w:ascii="Garamond" w:hAnsi="Garamond"/>
        </w:rPr>
        <w:t>e.g.</w:t>
      </w:r>
      <w:proofErr w:type="gramEnd"/>
      <w:r w:rsidRPr="006F4023">
        <w:rPr>
          <w:rFonts w:ascii="Garamond" w:hAnsi="Garamond"/>
        </w:rPr>
        <w:t xml:space="preserve"> helium and radon). </w:t>
      </w:r>
    </w:p>
    <w:p w14:paraId="6058D6D6" w14:textId="77777777" w:rsidR="00B73009" w:rsidRPr="002A7BAB" w:rsidRDefault="00B73009" w:rsidP="00B73009">
      <w:pPr>
        <w:pStyle w:val="Heading2"/>
      </w:pPr>
      <w:bookmarkStart w:id="472" w:name="_Toc42765124"/>
      <w:bookmarkStart w:id="473" w:name="_Toc66967238"/>
      <w:r w:rsidRPr="002A7BAB">
        <w:t>Characterisation of uncertainty</w:t>
      </w:r>
      <w:bookmarkEnd w:id="472"/>
      <w:r w:rsidRPr="002A7BAB">
        <w:t xml:space="preserve"> required for risk assessment in this context</w:t>
      </w:r>
      <w:bookmarkEnd w:id="473"/>
    </w:p>
    <w:p w14:paraId="4B36B39F" w14:textId="77777777" w:rsidR="00B73009" w:rsidRPr="006F4023" w:rsidRDefault="00B73009" w:rsidP="00B73009">
      <w:pPr>
        <w:pStyle w:val="06DOTPOINTS"/>
        <w:numPr>
          <w:ilvl w:val="0"/>
          <w:numId w:val="6"/>
        </w:numPr>
        <w:spacing w:line="240" w:lineRule="auto"/>
        <w:rPr>
          <w:rFonts w:ascii="Garamond" w:hAnsi="Garamond"/>
        </w:rPr>
      </w:pPr>
      <w:r w:rsidRPr="006F4023">
        <w:rPr>
          <w:rFonts w:ascii="Garamond" w:hAnsi="Garamond"/>
        </w:rPr>
        <w:t>Quantitative analysis of the uncertainty of juxtaposition occurrence and juxtaposition area wou</w:t>
      </w:r>
      <w:r w:rsidRPr="0038473D">
        <w:rPr>
          <w:rFonts w:ascii="Garamond" w:hAnsi="Garamond"/>
        </w:rPr>
        <w:t xml:space="preserve">ld be useful, particularly uncertainty analysis that accounts for fault throw and stratigraphic thicknesses. This analysis could examine possible ranges of juxtaposition area across faults, aquifers, and coal seams, </w:t>
      </w:r>
      <w:proofErr w:type="gramStart"/>
      <w:r w:rsidRPr="0038473D">
        <w:rPr>
          <w:rFonts w:ascii="Garamond" w:hAnsi="Garamond"/>
        </w:rPr>
        <w:t>and also</w:t>
      </w:r>
      <w:proofErr w:type="gramEnd"/>
      <w:r w:rsidRPr="0038473D">
        <w:rPr>
          <w:rFonts w:ascii="Garamond" w:hAnsi="Garamond"/>
        </w:rPr>
        <w:t xml:space="preserve"> the possible range of fault roc</w:t>
      </w:r>
      <w:r w:rsidRPr="006F4023">
        <w:rPr>
          <w:rFonts w:ascii="Garamond" w:hAnsi="Garamond"/>
        </w:rPr>
        <w:t xml:space="preserve">k character. </w:t>
      </w:r>
    </w:p>
    <w:p w14:paraId="0C95B979" w14:textId="1E007A28" w:rsidR="00B73009" w:rsidRPr="006F4023" w:rsidRDefault="00B73009" w:rsidP="00B73009">
      <w:pPr>
        <w:pStyle w:val="06DOTPOINTS"/>
        <w:numPr>
          <w:ilvl w:val="0"/>
          <w:numId w:val="6"/>
        </w:numPr>
        <w:spacing w:line="240" w:lineRule="auto"/>
        <w:rPr>
          <w:rFonts w:ascii="Garamond" w:hAnsi="Garamond"/>
        </w:rPr>
      </w:pPr>
      <w:r w:rsidRPr="006F4023">
        <w:rPr>
          <w:rFonts w:ascii="Garamond" w:hAnsi="Garamond"/>
        </w:rPr>
        <w:lastRenderedPageBreak/>
        <w:t>Probability distributions for the likely thicknesses and character of fault zone materials may be useful, such as through extrapolation from outcrop mapping or borehole televiewers of fractures.</w:t>
      </w:r>
    </w:p>
    <w:p w14:paraId="66F92135" w14:textId="77777777" w:rsidR="00B73009" w:rsidRPr="006F4023" w:rsidRDefault="00B73009" w:rsidP="00B73009">
      <w:pPr>
        <w:pStyle w:val="06DOTPOINTS"/>
        <w:numPr>
          <w:ilvl w:val="0"/>
          <w:numId w:val="6"/>
        </w:numPr>
        <w:spacing w:line="240" w:lineRule="auto"/>
        <w:rPr>
          <w:rFonts w:ascii="Garamond" w:hAnsi="Garamond"/>
        </w:rPr>
      </w:pPr>
      <w:r w:rsidRPr="006F4023">
        <w:rPr>
          <w:rFonts w:ascii="Garamond" w:hAnsi="Garamond"/>
        </w:rPr>
        <w:t>Uncertainty in the cross-fault transmissivity may be inferred from the uncertainties in the juxtaposition areas and the host rock properties either side</w:t>
      </w:r>
      <w:r w:rsidRPr="006F4023" w:rsidDel="00753594">
        <w:rPr>
          <w:rFonts w:ascii="Garamond" w:hAnsi="Garamond"/>
        </w:rPr>
        <w:t xml:space="preserve"> of </w:t>
      </w:r>
      <w:r w:rsidRPr="006F4023">
        <w:rPr>
          <w:rFonts w:ascii="Garamond" w:hAnsi="Garamond"/>
        </w:rPr>
        <w:t xml:space="preserve">the fault. </w:t>
      </w:r>
    </w:p>
    <w:p w14:paraId="7E7BEEAD" w14:textId="3A17C8AB" w:rsidR="00B73009" w:rsidRPr="006F4023" w:rsidRDefault="00B73009" w:rsidP="00B73009">
      <w:pPr>
        <w:pStyle w:val="Heading3"/>
      </w:pPr>
      <w:bookmarkStart w:id="474" w:name="_Toc66967239"/>
      <w:r w:rsidRPr="006F4023">
        <w:t>Fault-related risk assessment – potential repercussions of the fault</w:t>
      </w:r>
      <w:bookmarkEnd w:id="474"/>
    </w:p>
    <w:p w14:paraId="73806FC9" w14:textId="77777777" w:rsidR="00B73009" w:rsidRPr="006F4023" w:rsidRDefault="00B73009" w:rsidP="00B73009">
      <w:pPr>
        <w:pStyle w:val="BodyText"/>
        <w:rPr>
          <w:lang w:val="en-AU"/>
        </w:rPr>
      </w:pPr>
      <w:r w:rsidRPr="006F4023">
        <w:rPr>
          <w:lang w:val="en-AU"/>
        </w:rPr>
        <w:t xml:space="preserve">In this scenario, the delineation and assessment of potential pathways is complex. Pathways may involve multiple segments of differing character, for example starting with flow through the porous matrix of an aquifer, then along a fault damage zone, then across a fault into a different aquifer and finally into the depressurised coal seam or excavation. Given the likely complexity of flow paths, 3D visualization and presentation may be useful for the development of a transient 3D groundwater model, evaluating changes in flow over time. </w:t>
      </w:r>
    </w:p>
    <w:p w14:paraId="214D657C" w14:textId="77777777" w:rsidR="00B73009" w:rsidRPr="006F4023" w:rsidRDefault="00B73009" w:rsidP="00B73009">
      <w:pPr>
        <w:pStyle w:val="BodyText"/>
        <w:rPr>
          <w:lang w:val="en-AU"/>
        </w:rPr>
      </w:pPr>
      <w:r w:rsidRPr="006F4023">
        <w:rPr>
          <w:lang w:val="en-AU"/>
        </w:rPr>
        <w:t xml:space="preserve">The assessment of whether an asset is connected to a coal seam or excavation is easiest if Allan maps are generated for each fault. It is possible to provide an indication of connectivity using a series of cross sections. However, any flow simulation will require the calculation of juxtaposition areas, and this process is more complex and difficult with a series of cross sections than with Allan maps. To generate either Allan maps or a series of cross sections, a fault framework that is kinematically consistent, and that fits within a coherent fault architecture is required. </w:t>
      </w:r>
    </w:p>
    <w:p w14:paraId="313B1C71" w14:textId="133A12ED" w:rsidR="00B73009" w:rsidRPr="006F4023" w:rsidRDefault="00B73009" w:rsidP="00B73009">
      <w:pPr>
        <w:pStyle w:val="BodyText"/>
        <w:rPr>
          <w:lang w:val="en-AU"/>
        </w:rPr>
      </w:pPr>
      <w:r w:rsidRPr="006F4023">
        <w:rPr>
          <w:lang w:val="en-AU"/>
        </w:rPr>
        <w:t xml:space="preserve">Additionally, environmental tracer data may help analyse and constrain scenarios of flow pathways. For example, saline or </w:t>
      </w:r>
      <w:proofErr w:type="gramStart"/>
      <w:r w:rsidRPr="006F4023">
        <w:rPr>
          <w:lang w:val="en-AU"/>
        </w:rPr>
        <w:t>fresh water</w:t>
      </w:r>
      <w:proofErr w:type="gramEnd"/>
      <w:r w:rsidRPr="006F4023">
        <w:rPr>
          <w:lang w:val="en-AU"/>
        </w:rPr>
        <w:t xml:space="preserve"> recharge could help identify fault-related flows that are induced by depressurization from neighbouring developments. A detailed analysis of groundwater pressure and tracer information (</w:t>
      </w:r>
      <w:proofErr w:type="gramStart"/>
      <w:r w:rsidRPr="006F4023">
        <w:rPr>
          <w:lang w:val="en-AU"/>
        </w:rPr>
        <w:t>i.e.</w:t>
      </w:r>
      <w:proofErr w:type="gramEnd"/>
      <w:r w:rsidRPr="006F4023">
        <w:rPr>
          <w:lang w:val="en-AU"/>
        </w:rPr>
        <w:t xml:space="preserve"> physio-chemical properties, major and trace ions and/or environmental isotopes) for all aquifers associated with the proposed development could thus be useful. With multiple aquifers it may be important to define the pre-development connections and the possibility of aquifer interference. </w:t>
      </w:r>
    </w:p>
    <w:p w14:paraId="43BEDF16" w14:textId="35F4D50E" w:rsidR="00B73009" w:rsidRPr="006F4023" w:rsidRDefault="00B73009" w:rsidP="00B73009">
      <w:pPr>
        <w:pStyle w:val="BodyText"/>
        <w:rPr>
          <w:lang w:val="en-AU"/>
        </w:rPr>
      </w:pPr>
      <w:r w:rsidRPr="006F4023">
        <w:rPr>
          <w:lang w:val="en-AU"/>
        </w:rPr>
        <w:t>For this scenario it is necessary to assess structural (</w:t>
      </w:r>
      <w:proofErr w:type="gramStart"/>
      <w:r w:rsidRPr="006F4023">
        <w:rPr>
          <w:lang w:val="en-AU"/>
        </w:rPr>
        <w:t>i.e.</w:t>
      </w:r>
      <w:proofErr w:type="gramEnd"/>
      <w:r w:rsidRPr="006F4023">
        <w:rPr>
          <w:lang w:val="en-AU"/>
        </w:rPr>
        <w:t xml:space="preserve"> conceptual) uncertainty, and to quantify parameter uncertainty. Structural uncertainty could consider, for example, the possibility of additional significant faults or geometry, and the possibility of various aquifer-aquitard systems. Quantifying parameter uncertainty could include an analysis of the resolution limits of the seismic data and how these could influence the structural interpretations (cross sections and structure contour maps). Thus, there are several uncertainties in developing Allan maps that show the most likely juxtapositions and fault characters. The interactions of these uncertainties are frequently non-linear, and with some fault or aquitard geometries the stratigraphic thicknesses are most important in determining juxtaposition area, whilst in other situations the fault throw is much more important. </w:t>
      </w:r>
    </w:p>
    <w:p w14:paraId="0C812623" w14:textId="3B5C7834" w:rsidR="00B73009" w:rsidRPr="006F4023" w:rsidRDefault="00B73009" w:rsidP="00B73009">
      <w:pPr>
        <w:pStyle w:val="BodyText"/>
        <w:rPr>
          <w:lang w:val="en-AU"/>
        </w:rPr>
      </w:pPr>
      <w:r w:rsidRPr="006F4023">
        <w:rPr>
          <w:lang w:val="en-AU"/>
        </w:rPr>
        <w:t xml:space="preserve">However, with this scenario, the key uncertainties relate to the gross fault and aquitard geometry which can in many cases be derived with a relatively high level of confidence. To provide this confidence, both (a) aquifer and aquitard thicknesses and properties and (b) fault throw profiles, should be estimated using distributions. These uncertainties should then be used to derive a combined analysis of the ranges of across fault aquifer/seam juxtaposition areas and of the fault rock character. With well-defined estimates of the key parameters for the flow pathways, the results can be implemented into a groundwater model. </w:t>
      </w:r>
    </w:p>
    <w:p w14:paraId="51A0C9B5" w14:textId="4F108FCE" w:rsidR="00B73009" w:rsidRPr="006F4023" w:rsidRDefault="00B73009" w:rsidP="00B73009">
      <w:pPr>
        <w:pStyle w:val="BodyText"/>
        <w:rPr>
          <w:lang w:val="en-AU"/>
        </w:rPr>
      </w:pPr>
      <w:r w:rsidRPr="006F4023">
        <w:rPr>
          <w:lang w:val="en-AU"/>
        </w:rPr>
        <w:t>Ultimately, the flow calculations are based on the estimation of juxtaposition areas</w:t>
      </w:r>
      <w:r w:rsidR="00210F63" w:rsidRPr="006F4023">
        <w:rPr>
          <w:lang w:val="en-AU"/>
        </w:rPr>
        <w:t xml:space="preserve"> or assessment of fault parallel flow</w:t>
      </w:r>
      <w:r w:rsidRPr="006F4023">
        <w:rPr>
          <w:lang w:val="en-AU"/>
        </w:rPr>
        <w:t xml:space="preserve">. The calculation of these areas from the basic data (fault throw and aquitard/aquifer thicknesses) </w:t>
      </w:r>
      <w:proofErr w:type="gramStart"/>
      <w:r w:rsidRPr="006F4023">
        <w:rPr>
          <w:lang w:val="en-AU"/>
        </w:rPr>
        <w:t>have</w:t>
      </w:r>
      <w:proofErr w:type="gramEnd"/>
      <w:r w:rsidRPr="006F4023">
        <w:rPr>
          <w:lang w:val="en-AU"/>
        </w:rPr>
        <w:t xml:space="preserve"> strongly nonlinear character. Thus, it is difficult to predict results without these calculations. </w:t>
      </w:r>
    </w:p>
    <w:p w14:paraId="2066F90D" w14:textId="77777777" w:rsidR="00B73009" w:rsidRPr="006F4023" w:rsidRDefault="00B73009" w:rsidP="00B73009">
      <w:pPr>
        <w:pStyle w:val="BodyText"/>
        <w:rPr>
          <w:lang w:val="en-AU"/>
        </w:rPr>
      </w:pPr>
      <w:r w:rsidRPr="006F4023">
        <w:rPr>
          <w:lang w:val="en-AU"/>
        </w:rPr>
        <w:t xml:space="preserve">The final steps in the fault analysis that are not fully described in this Explanatory Note are the calculation of rates for the potential flow pathways, and selection of the ranked causal pathways for a comparative risk assessment. </w:t>
      </w:r>
    </w:p>
    <w:p w14:paraId="296D2876" w14:textId="77777777" w:rsidR="00B73009" w:rsidRPr="006F4023" w:rsidRDefault="00B73009" w:rsidP="00B73009">
      <w:pPr>
        <w:pStyle w:val="Heading3"/>
      </w:pPr>
      <w:bookmarkStart w:id="475" w:name="_Toc42765125"/>
      <w:bookmarkStart w:id="476" w:name="_Toc66967240"/>
      <w:r w:rsidRPr="006F4023">
        <w:t>Example case study</w:t>
      </w:r>
      <w:bookmarkEnd w:id="475"/>
      <w:bookmarkEnd w:id="476"/>
    </w:p>
    <w:p w14:paraId="5BB60E4F" w14:textId="4A5B6684" w:rsidR="00B73009" w:rsidRPr="0038473D" w:rsidRDefault="00B73009" w:rsidP="00B73009">
      <w:pPr>
        <w:pStyle w:val="BodyText"/>
        <w:rPr>
          <w:lang w:val="en-AU"/>
        </w:rPr>
      </w:pPr>
      <w:r w:rsidRPr="006F4023">
        <w:rPr>
          <w:lang w:val="en-AU"/>
        </w:rPr>
        <w:t>For this scenario we present a case study which describes a proposed underground longwall coal mine in the vicinity of a surface reservoir or lake (</w:t>
      </w:r>
      <w:r w:rsidR="00C819FF" w:rsidRPr="0038473D">
        <w:rPr>
          <w:lang w:val="en-AU"/>
        </w:rPr>
        <w:fldChar w:fldCharType="begin"/>
      </w:r>
      <w:r w:rsidR="00C819FF" w:rsidRPr="006F4023">
        <w:rPr>
          <w:lang w:val="en-AU"/>
        </w:rPr>
        <w:instrText xml:space="preserve"> REF _Ref57022554 \h </w:instrText>
      </w:r>
      <w:r w:rsidR="00C819FF" w:rsidRPr="0038473D">
        <w:rPr>
          <w:lang w:val="en-AU"/>
        </w:rPr>
      </w:r>
      <w:r w:rsidR="00C819FF" w:rsidRPr="0038473D">
        <w:rPr>
          <w:lang w:val="en-AU"/>
        </w:rPr>
        <w:fldChar w:fldCharType="separate"/>
      </w:r>
      <w:r w:rsidR="00047351" w:rsidRPr="0038473D">
        <w:t xml:space="preserve">Figure </w:t>
      </w:r>
      <w:r w:rsidR="00047351">
        <w:rPr>
          <w:noProof/>
        </w:rPr>
        <w:t>9</w:t>
      </w:r>
      <w:r w:rsidR="00C819FF" w:rsidRPr="0038473D">
        <w:rPr>
          <w:lang w:val="en-AU"/>
        </w:rPr>
        <w:fldChar w:fldCharType="end"/>
      </w:r>
      <w:r w:rsidRPr="006F4023">
        <w:rPr>
          <w:lang w:val="en-AU"/>
        </w:rPr>
        <w:t xml:space="preserve">). Part 1 shows the location of the proposed longwall </w:t>
      </w:r>
      <w:r w:rsidRPr="0038473D">
        <w:rPr>
          <w:lang w:val="en-AU"/>
        </w:rPr>
        <w:t>development in relation to the stratigraphic horizon and the reservoir. Part 2 shows the analysis of potential flow paths.</w:t>
      </w:r>
    </w:p>
    <w:p w14:paraId="724FC590" w14:textId="703B2424" w:rsidR="00B73009" w:rsidRPr="0038473D" w:rsidRDefault="00B73009" w:rsidP="00B73009">
      <w:pPr>
        <w:pStyle w:val="BodyText"/>
        <w:rPr>
          <w:lang w:val="en-AU"/>
        </w:rPr>
      </w:pPr>
      <w:r w:rsidRPr="006F4023">
        <w:rPr>
          <w:b/>
          <w:bCs/>
          <w:lang w:val="en-AU"/>
        </w:rPr>
        <w:lastRenderedPageBreak/>
        <w:t>Geological Setting:</w:t>
      </w:r>
      <w:r w:rsidRPr="006F4023">
        <w:rPr>
          <w:lang w:val="en-AU"/>
        </w:rPr>
        <w:t xml:space="preserve"> The coal measures are overlain by a sequence of regionally consistent aquifers and aquitards, and the area is cut by five NNW trending faults (labelled F1 through F5 in </w:t>
      </w:r>
      <w:r w:rsidR="00C819FF" w:rsidRPr="0038473D">
        <w:rPr>
          <w:lang w:val="en-AU"/>
        </w:rPr>
        <w:fldChar w:fldCharType="begin"/>
      </w:r>
      <w:r w:rsidR="00C819FF" w:rsidRPr="006F4023">
        <w:rPr>
          <w:lang w:val="en-AU"/>
        </w:rPr>
        <w:instrText xml:space="preserve"> REF _Ref57022554 \h </w:instrText>
      </w:r>
      <w:r w:rsidR="00C819FF" w:rsidRPr="0038473D">
        <w:rPr>
          <w:lang w:val="en-AU"/>
        </w:rPr>
      </w:r>
      <w:r w:rsidR="00C819FF" w:rsidRPr="0038473D">
        <w:rPr>
          <w:lang w:val="en-AU"/>
        </w:rPr>
        <w:fldChar w:fldCharType="separate"/>
      </w:r>
      <w:r w:rsidR="00047351" w:rsidRPr="0038473D">
        <w:t xml:space="preserve">Figure </w:t>
      </w:r>
      <w:r w:rsidR="00047351">
        <w:rPr>
          <w:noProof/>
        </w:rPr>
        <w:t>9</w:t>
      </w:r>
      <w:r w:rsidR="00C819FF" w:rsidRPr="0038473D">
        <w:rPr>
          <w:lang w:val="en-AU"/>
        </w:rPr>
        <w:fldChar w:fldCharType="end"/>
      </w:r>
      <w:r w:rsidRPr="006F4023">
        <w:rPr>
          <w:lang w:val="en-AU"/>
        </w:rPr>
        <w:t>, part a). The uppermost aquifer (Aquifer A) is thicker than the other aquifers and is of greater areal e</w:t>
      </w:r>
      <w:r w:rsidRPr="0038473D">
        <w:rPr>
          <w:lang w:val="en-AU"/>
        </w:rPr>
        <w:t>xtent (200 km</w:t>
      </w:r>
      <w:r w:rsidRPr="006F4023">
        <w:rPr>
          <w:vertAlign w:val="superscript"/>
          <w:lang w:val="en-AU"/>
        </w:rPr>
        <w:t>2</w:t>
      </w:r>
      <w:r w:rsidRPr="006F4023">
        <w:rPr>
          <w:lang w:val="en-AU"/>
        </w:rPr>
        <w:t>) than the other stratigraphically lower aquifers (Aquifers B and C, which have areas of 10km</w:t>
      </w:r>
      <w:r w:rsidRPr="006F4023">
        <w:rPr>
          <w:vertAlign w:val="superscript"/>
          <w:lang w:val="en-AU"/>
        </w:rPr>
        <w:t>2</w:t>
      </w:r>
      <w:r w:rsidRPr="006F4023">
        <w:rPr>
          <w:lang w:val="en-AU"/>
        </w:rPr>
        <w:t xml:space="preserve"> and 25 km</w:t>
      </w:r>
      <w:r w:rsidRPr="006F4023">
        <w:rPr>
          <w:vertAlign w:val="superscript"/>
          <w:lang w:val="en-AU"/>
        </w:rPr>
        <w:t>2</w:t>
      </w:r>
      <w:r w:rsidRPr="006F4023">
        <w:rPr>
          <w:lang w:val="en-AU"/>
        </w:rPr>
        <w:t xml:space="preserve"> respectively). Aquifer A also contains local horizons of finer grained, clay/shale rich material that are less permeable. The general stratigraphic thicknesses are illustrated in the cross section (</w:t>
      </w:r>
      <w:r w:rsidR="00C819FF" w:rsidRPr="0038473D">
        <w:rPr>
          <w:lang w:val="en-AU"/>
        </w:rPr>
        <w:fldChar w:fldCharType="begin"/>
      </w:r>
      <w:r w:rsidR="00C819FF" w:rsidRPr="006F4023">
        <w:rPr>
          <w:lang w:val="en-AU"/>
        </w:rPr>
        <w:instrText xml:space="preserve"> REF _Ref57022554 \h </w:instrText>
      </w:r>
      <w:r w:rsidR="00C819FF" w:rsidRPr="0038473D">
        <w:rPr>
          <w:lang w:val="en-AU"/>
        </w:rPr>
      </w:r>
      <w:r w:rsidR="00C819FF" w:rsidRPr="0038473D">
        <w:rPr>
          <w:lang w:val="en-AU"/>
        </w:rPr>
        <w:fldChar w:fldCharType="separate"/>
      </w:r>
      <w:r w:rsidR="00047351" w:rsidRPr="0038473D">
        <w:t xml:space="preserve">Figure </w:t>
      </w:r>
      <w:r w:rsidR="00047351">
        <w:rPr>
          <w:noProof/>
        </w:rPr>
        <w:t>9</w:t>
      </w:r>
      <w:r w:rsidR="00C819FF" w:rsidRPr="0038473D">
        <w:rPr>
          <w:lang w:val="en-AU"/>
        </w:rPr>
        <w:fldChar w:fldCharType="end"/>
      </w:r>
      <w:r w:rsidRPr="006F4023">
        <w:rPr>
          <w:lang w:val="en-AU"/>
        </w:rPr>
        <w:t>, part b). Fault F1 is a reverse fault, whilst Faults F2 through F5 are normal faults.</w:t>
      </w:r>
    </w:p>
    <w:p w14:paraId="795B0F7C" w14:textId="77777777" w:rsidR="00B73009" w:rsidRPr="006F4023" w:rsidRDefault="00B73009" w:rsidP="00B73009">
      <w:pPr>
        <w:pStyle w:val="BodyText"/>
        <w:rPr>
          <w:b/>
          <w:bCs/>
          <w:lang w:val="en-AU"/>
        </w:rPr>
      </w:pPr>
      <w:r w:rsidRPr="0038473D">
        <w:rPr>
          <w:b/>
          <w:bCs/>
          <w:lang w:val="en-AU"/>
        </w:rPr>
        <w:t>Key supporti</w:t>
      </w:r>
      <w:r w:rsidRPr="006F4023">
        <w:rPr>
          <w:b/>
          <w:bCs/>
          <w:lang w:val="en-AU"/>
        </w:rPr>
        <w:t>ng Data:</w:t>
      </w:r>
    </w:p>
    <w:p w14:paraId="356DF0B9" w14:textId="54514E67" w:rsidR="00B73009" w:rsidRPr="006F4023" w:rsidRDefault="00B73009" w:rsidP="00B73009">
      <w:pPr>
        <w:pStyle w:val="06DOTPOINTS"/>
        <w:numPr>
          <w:ilvl w:val="0"/>
          <w:numId w:val="6"/>
        </w:numPr>
        <w:spacing w:line="240" w:lineRule="auto"/>
        <w:rPr>
          <w:rFonts w:ascii="Garamond" w:hAnsi="Garamond"/>
        </w:rPr>
      </w:pPr>
      <w:r w:rsidRPr="006F4023">
        <w:rPr>
          <w:rFonts w:ascii="Garamond" w:hAnsi="Garamond"/>
        </w:rPr>
        <w:t>Regional geological studies</w:t>
      </w:r>
      <w:r w:rsidR="008D2271" w:rsidRPr="006F4023">
        <w:rPr>
          <w:rFonts w:ascii="Garamond" w:hAnsi="Garamond"/>
        </w:rPr>
        <w:t xml:space="preserve"> that characterise the heterogeneity and lateral continuity of regional aquifers and aquitards and their host </w:t>
      </w:r>
      <w:r w:rsidRPr="006F4023">
        <w:rPr>
          <w:rFonts w:ascii="Garamond" w:hAnsi="Garamond"/>
        </w:rPr>
        <w:t>stratigraphic units.</w:t>
      </w:r>
    </w:p>
    <w:p w14:paraId="1979FA59" w14:textId="77777777" w:rsidR="008D2271" w:rsidRPr="006F4023" w:rsidRDefault="008D2271" w:rsidP="008D2271">
      <w:pPr>
        <w:pStyle w:val="06DOTPOINTS"/>
        <w:numPr>
          <w:ilvl w:val="0"/>
          <w:numId w:val="6"/>
        </w:numPr>
        <w:spacing w:line="240" w:lineRule="auto"/>
        <w:rPr>
          <w:rFonts w:ascii="Garamond" w:hAnsi="Garamond"/>
        </w:rPr>
      </w:pPr>
      <w:r w:rsidRPr="006F4023">
        <w:rPr>
          <w:rFonts w:ascii="Garamond" w:hAnsi="Garamond"/>
        </w:rPr>
        <w:t>Surface geological mapping and topography (Digital Elevation Models).</w:t>
      </w:r>
    </w:p>
    <w:p w14:paraId="55B8B99B" w14:textId="77777777" w:rsidR="00B73009" w:rsidRPr="006F4023" w:rsidRDefault="00B73009" w:rsidP="00B73009">
      <w:pPr>
        <w:pStyle w:val="06DOTPOINTS"/>
        <w:numPr>
          <w:ilvl w:val="0"/>
          <w:numId w:val="6"/>
        </w:numPr>
        <w:spacing w:line="240" w:lineRule="auto"/>
        <w:rPr>
          <w:rFonts w:ascii="Garamond" w:hAnsi="Garamond"/>
        </w:rPr>
      </w:pPr>
      <w:r w:rsidRPr="006F4023">
        <w:rPr>
          <w:rFonts w:ascii="Garamond" w:hAnsi="Garamond"/>
        </w:rPr>
        <w:t>Coal resource definition drilling.</w:t>
      </w:r>
    </w:p>
    <w:p w14:paraId="2AB54554" w14:textId="434FC288" w:rsidR="00B73009" w:rsidRPr="006F4023" w:rsidRDefault="008D2271" w:rsidP="00B73009">
      <w:pPr>
        <w:pStyle w:val="06DOTPOINTS"/>
        <w:numPr>
          <w:ilvl w:val="0"/>
          <w:numId w:val="6"/>
        </w:numPr>
        <w:spacing w:line="240" w:lineRule="auto"/>
        <w:rPr>
          <w:rFonts w:ascii="Garamond" w:hAnsi="Garamond"/>
        </w:rPr>
      </w:pPr>
      <w:r w:rsidRPr="006F4023">
        <w:rPr>
          <w:rFonts w:ascii="Garamond" w:hAnsi="Garamond"/>
        </w:rPr>
        <w:t xml:space="preserve">Geophysical survey </w:t>
      </w:r>
      <w:r w:rsidR="00693510" w:rsidRPr="006F4023">
        <w:rPr>
          <w:rFonts w:ascii="Garamond" w:hAnsi="Garamond"/>
        </w:rPr>
        <w:t>such as</w:t>
      </w:r>
      <w:r w:rsidRPr="006F4023">
        <w:rPr>
          <w:rFonts w:ascii="Garamond" w:hAnsi="Garamond"/>
        </w:rPr>
        <w:t xml:space="preserve"> subsurface seismic </w:t>
      </w:r>
      <w:r w:rsidR="00B73009" w:rsidRPr="006F4023">
        <w:rPr>
          <w:rFonts w:ascii="Garamond" w:hAnsi="Garamond"/>
        </w:rPr>
        <w:t>data</w:t>
      </w:r>
      <w:r w:rsidRPr="006F4023">
        <w:rPr>
          <w:rFonts w:ascii="Garamond" w:hAnsi="Garamond"/>
        </w:rPr>
        <w:t>, ground and</w:t>
      </w:r>
      <w:r w:rsidR="00693510" w:rsidRPr="006F4023">
        <w:rPr>
          <w:rFonts w:ascii="Garamond" w:hAnsi="Garamond"/>
        </w:rPr>
        <w:t>/or</w:t>
      </w:r>
      <w:r w:rsidRPr="006F4023">
        <w:rPr>
          <w:rFonts w:ascii="Garamond" w:hAnsi="Garamond"/>
        </w:rPr>
        <w:t xml:space="preserve"> </w:t>
      </w:r>
      <w:proofErr w:type="spellStart"/>
      <w:r w:rsidRPr="006F4023">
        <w:rPr>
          <w:rFonts w:ascii="Garamond" w:hAnsi="Garamond"/>
        </w:rPr>
        <w:t>aeromagnetics</w:t>
      </w:r>
      <w:proofErr w:type="spellEnd"/>
      <w:r w:rsidRPr="006F4023">
        <w:rPr>
          <w:rFonts w:ascii="Garamond" w:hAnsi="Garamond"/>
        </w:rPr>
        <w:t>, transient electromagnetics</w:t>
      </w:r>
      <w:r w:rsidR="00693510" w:rsidRPr="006F4023">
        <w:rPr>
          <w:rFonts w:ascii="Garamond" w:hAnsi="Garamond"/>
        </w:rPr>
        <w:t xml:space="preserve">, electrical resistivity tomography, and </w:t>
      </w:r>
      <w:proofErr w:type="spellStart"/>
      <w:r w:rsidR="00693510" w:rsidRPr="006F4023">
        <w:rPr>
          <w:rFonts w:ascii="Garamond" w:hAnsi="Garamond"/>
        </w:rPr>
        <w:t>microseismics</w:t>
      </w:r>
      <w:proofErr w:type="spellEnd"/>
      <w:r w:rsidR="00B73009" w:rsidRPr="006F4023">
        <w:rPr>
          <w:rFonts w:ascii="Garamond" w:hAnsi="Garamond"/>
        </w:rPr>
        <w:t>.</w:t>
      </w:r>
    </w:p>
    <w:p w14:paraId="0E7EF14A" w14:textId="554B6928" w:rsidR="00B73009" w:rsidRPr="006F4023" w:rsidRDefault="00B73009" w:rsidP="00B73009">
      <w:pPr>
        <w:pStyle w:val="06DOTPOINTS"/>
        <w:numPr>
          <w:ilvl w:val="0"/>
          <w:numId w:val="6"/>
        </w:numPr>
        <w:spacing w:line="240" w:lineRule="auto"/>
        <w:rPr>
          <w:rFonts w:ascii="Garamond" w:hAnsi="Garamond"/>
        </w:rPr>
      </w:pPr>
      <w:r w:rsidRPr="006F4023">
        <w:rPr>
          <w:rFonts w:ascii="Garamond" w:hAnsi="Garamond"/>
        </w:rPr>
        <w:t>Additional deeper drilling which constrains the stratigraphic and structural character</w:t>
      </w:r>
      <w:r w:rsidR="00693510" w:rsidRPr="006F4023">
        <w:rPr>
          <w:rFonts w:ascii="Garamond" w:hAnsi="Garamond"/>
        </w:rPr>
        <w:t xml:space="preserve"> of the area</w:t>
      </w:r>
      <w:r w:rsidRPr="006F4023">
        <w:rPr>
          <w:rFonts w:ascii="Garamond" w:hAnsi="Garamond"/>
        </w:rPr>
        <w:t>.</w:t>
      </w:r>
    </w:p>
    <w:p w14:paraId="36FB5F01" w14:textId="77777777" w:rsidR="00B73009" w:rsidRPr="006F4023" w:rsidRDefault="00B73009" w:rsidP="00B73009">
      <w:pPr>
        <w:pStyle w:val="06DOTPOINTS"/>
        <w:numPr>
          <w:ilvl w:val="0"/>
          <w:numId w:val="6"/>
        </w:numPr>
        <w:spacing w:line="240" w:lineRule="auto"/>
        <w:rPr>
          <w:rFonts w:ascii="Garamond" w:hAnsi="Garamond"/>
        </w:rPr>
      </w:pPr>
      <w:r w:rsidRPr="006F4023">
        <w:rPr>
          <w:rFonts w:ascii="Garamond" w:hAnsi="Garamond"/>
        </w:rPr>
        <w:t>Isopach maps of the aquifers and aquitards, some from regional studies, and some that are derived from the local data.</w:t>
      </w:r>
    </w:p>
    <w:p w14:paraId="647868E7" w14:textId="77777777" w:rsidR="00B73009" w:rsidRPr="006F4023" w:rsidRDefault="00B73009" w:rsidP="00B73009">
      <w:pPr>
        <w:pStyle w:val="06DOTPOINTS"/>
        <w:numPr>
          <w:ilvl w:val="0"/>
          <w:numId w:val="6"/>
        </w:numPr>
        <w:spacing w:line="240" w:lineRule="auto"/>
        <w:rPr>
          <w:rFonts w:ascii="Garamond" w:hAnsi="Garamond"/>
        </w:rPr>
      </w:pPr>
      <w:r w:rsidRPr="006F4023">
        <w:rPr>
          <w:rFonts w:ascii="Garamond" w:hAnsi="Garamond"/>
        </w:rPr>
        <w:t>Structure contour maps showing the key horizons including the aquitards and the coal measures.</w:t>
      </w:r>
    </w:p>
    <w:p w14:paraId="7A5D40F4" w14:textId="77777777" w:rsidR="00B73009" w:rsidRPr="006F4023" w:rsidRDefault="00B73009" w:rsidP="00B73009">
      <w:pPr>
        <w:pStyle w:val="06DOTPOINTS"/>
        <w:numPr>
          <w:ilvl w:val="0"/>
          <w:numId w:val="6"/>
        </w:numPr>
        <w:spacing w:line="240" w:lineRule="auto"/>
        <w:rPr>
          <w:rFonts w:ascii="Garamond" w:hAnsi="Garamond"/>
        </w:rPr>
      </w:pPr>
      <w:r w:rsidRPr="006F4023">
        <w:rPr>
          <w:rFonts w:ascii="Garamond" w:hAnsi="Garamond"/>
        </w:rPr>
        <w:t>Illustrative cross sections.</w:t>
      </w:r>
    </w:p>
    <w:p w14:paraId="6691C514" w14:textId="41481CC0" w:rsidR="00B73009" w:rsidRPr="0038473D" w:rsidRDefault="00B73009" w:rsidP="00B73009">
      <w:pPr>
        <w:pStyle w:val="BodyText"/>
        <w:rPr>
          <w:lang w:val="en-AU"/>
        </w:rPr>
      </w:pPr>
      <w:r w:rsidRPr="006F4023">
        <w:rPr>
          <w:b/>
          <w:bCs/>
          <w:lang w:val="en-AU"/>
        </w:rPr>
        <w:t>Fault Character:</w:t>
      </w:r>
      <w:r w:rsidRPr="006F4023">
        <w:rPr>
          <w:lang w:val="en-AU"/>
        </w:rPr>
        <w:t xml:space="preserve"> The network of faults and intersected aquifers and aquitards is complex. For each fault, plots showing throw versus distance along the fault were produced. Each fault was individually validated by comparing the throw profiles on at least two different levels. The throw profiles were then used to develop Allan maps (</w:t>
      </w:r>
      <w:r w:rsidR="00C819FF" w:rsidRPr="0038473D">
        <w:rPr>
          <w:lang w:val="en-AU"/>
        </w:rPr>
        <w:fldChar w:fldCharType="begin"/>
      </w:r>
      <w:r w:rsidR="00C819FF" w:rsidRPr="006F4023">
        <w:rPr>
          <w:lang w:val="en-AU"/>
        </w:rPr>
        <w:instrText xml:space="preserve"> REF _Ref57022554 \h </w:instrText>
      </w:r>
      <w:r w:rsidR="00C819FF" w:rsidRPr="0038473D">
        <w:rPr>
          <w:lang w:val="en-AU"/>
        </w:rPr>
      </w:r>
      <w:r w:rsidR="00C819FF" w:rsidRPr="0038473D">
        <w:rPr>
          <w:lang w:val="en-AU"/>
        </w:rPr>
        <w:fldChar w:fldCharType="separate"/>
      </w:r>
      <w:r w:rsidR="00047351" w:rsidRPr="0038473D">
        <w:t xml:space="preserve">Figure </w:t>
      </w:r>
      <w:r w:rsidR="00047351">
        <w:rPr>
          <w:noProof/>
        </w:rPr>
        <w:t>9</w:t>
      </w:r>
      <w:r w:rsidR="00C819FF" w:rsidRPr="0038473D">
        <w:rPr>
          <w:lang w:val="en-AU"/>
        </w:rPr>
        <w:fldChar w:fldCharType="end"/>
      </w:r>
      <w:r w:rsidRPr="006F4023">
        <w:rPr>
          <w:lang w:val="en-AU"/>
        </w:rPr>
        <w:t>, part c) for each fault that show/delineate the character of the cross-fault juxtapositions. A tri</w:t>
      </w:r>
      <w:r w:rsidRPr="0038473D">
        <w:rPr>
          <w:lang w:val="en-AU"/>
        </w:rPr>
        <w:t>angle map is also shown (</w:t>
      </w:r>
      <w:r w:rsidR="00C819FF" w:rsidRPr="0038473D">
        <w:rPr>
          <w:lang w:val="en-AU"/>
        </w:rPr>
        <w:fldChar w:fldCharType="begin"/>
      </w:r>
      <w:r w:rsidR="00C819FF" w:rsidRPr="006F4023">
        <w:rPr>
          <w:lang w:val="en-AU"/>
        </w:rPr>
        <w:instrText xml:space="preserve"> REF _Ref57022554 \h </w:instrText>
      </w:r>
      <w:r w:rsidR="00C819FF" w:rsidRPr="0038473D">
        <w:rPr>
          <w:lang w:val="en-AU"/>
        </w:rPr>
      </w:r>
      <w:r w:rsidR="00C819FF" w:rsidRPr="0038473D">
        <w:rPr>
          <w:lang w:val="en-AU"/>
        </w:rPr>
        <w:fldChar w:fldCharType="separate"/>
      </w:r>
      <w:r w:rsidR="00047351" w:rsidRPr="0038473D">
        <w:t xml:space="preserve">Figure </w:t>
      </w:r>
      <w:r w:rsidR="00047351">
        <w:rPr>
          <w:noProof/>
        </w:rPr>
        <w:t>9</w:t>
      </w:r>
      <w:r w:rsidR="00C819FF" w:rsidRPr="0038473D">
        <w:rPr>
          <w:lang w:val="en-AU"/>
        </w:rPr>
        <w:fldChar w:fldCharType="end"/>
      </w:r>
      <w:r w:rsidRPr="006F4023">
        <w:rPr>
          <w:lang w:val="en-AU"/>
        </w:rPr>
        <w:t>, part d).</w:t>
      </w:r>
    </w:p>
    <w:p w14:paraId="01427499" w14:textId="7694F706" w:rsidR="00B73009" w:rsidRPr="0038473D" w:rsidRDefault="00B73009" w:rsidP="00B73009">
      <w:pPr>
        <w:pStyle w:val="BodyText"/>
        <w:rPr>
          <w:lang w:val="en-AU"/>
        </w:rPr>
      </w:pPr>
      <w:r w:rsidRPr="0038473D">
        <w:rPr>
          <w:b/>
          <w:bCs/>
          <w:lang w:val="en-AU"/>
        </w:rPr>
        <w:t>Pathways:</w:t>
      </w:r>
      <w:r w:rsidRPr="006F4023">
        <w:rPr>
          <w:lang w:val="en-AU"/>
        </w:rPr>
        <w:t xml:space="preserve"> </w:t>
      </w:r>
      <w:proofErr w:type="gramStart"/>
      <w:r w:rsidRPr="006F4023">
        <w:rPr>
          <w:lang w:val="en-AU"/>
        </w:rPr>
        <w:t>In order to</w:t>
      </w:r>
      <w:proofErr w:type="gramEnd"/>
      <w:r w:rsidRPr="006F4023">
        <w:rPr>
          <w:lang w:val="en-AU"/>
        </w:rPr>
        <w:t xml:space="preserve"> illustrate the possible complexity of the flow paths, we show a cross section (</w:t>
      </w:r>
      <w:r w:rsidR="00C819FF" w:rsidRPr="0038473D">
        <w:rPr>
          <w:lang w:val="en-AU"/>
        </w:rPr>
        <w:fldChar w:fldCharType="begin"/>
      </w:r>
      <w:r w:rsidR="00C819FF" w:rsidRPr="006F4023">
        <w:rPr>
          <w:lang w:val="en-AU"/>
        </w:rPr>
        <w:instrText xml:space="preserve"> REF _Ref57022554 \h </w:instrText>
      </w:r>
      <w:r w:rsidR="00C819FF" w:rsidRPr="0038473D">
        <w:rPr>
          <w:lang w:val="en-AU"/>
        </w:rPr>
      </w:r>
      <w:r w:rsidR="00C819FF" w:rsidRPr="0038473D">
        <w:rPr>
          <w:lang w:val="en-AU"/>
        </w:rPr>
        <w:fldChar w:fldCharType="separate"/>
      </w:r>
      <w:r w:rsidR="00047351" w:rsidRPr="0038473D">
        <w:t xml:space="preserve">Figure </w:t>
      </w:r>
      <w:r w:rsidR="00047351">
        <w:rPr>
          <w:noProof/>
        </w:rPr>
        <w:t>9</w:t>
      </w:r>
      <w:r w:rsidR="00C819FF" w:rsidRPr="0038473D">
        <w:rPr>
          <w:lang w:val="en-AU"/>
        </w:rPr>
        <w:fldChar w:fldCharType="end"/>
      </w:r>
      <w:r w:rsidRPr="006F4023">
        <w:rPr>
          <w:lang w:val="en-AU"/>
        </w:rPr>
        <w:t>, part e) with a number of possible flow paths. Showing these pat</w:t>
      </w:r>
      <w:r w:rsidRPr="0038473D">
        <w:rPr>
          <w:lang w:val="en-AU"/>
        </w:rPr>
        <w:t>hways on a cross section simplifies the presentation, but also hides the complexity; it must be emphasized that flow in and out of the section plane is possible, and in many ways finding and presenting potential pathways in 3D is difficult. It is only by u</w:t>
      </w:r>
      <w:r w:rsidRPr="006F4023">
        <w:rPr>
          <w:lang w:val="en-AU"/>
        </w:rPr>
        <w:t>sing a</w:t>
      </w:r>
      <w:r w:rsidR="00322E77" w:rsidRPr="006F4023">
        <w:rPr>
          <w:lang w:val="en-AU"/>
        </w:rPr>
        <w:t>n integrated</w:t>
      </w:r>
      <w:r w:rsidRPr="006F4023">
        <w:rPr>
          <w:lang w:val="en-AU"/>
        </w:rPr>
        <w:t xml:space="preserve"> groundwater simulator that the multiple </w:t>
      </w:r>
      <w:r w:rsidR="00322E77" w:rsidRPr="006F4023">
        <w:rPr>
          <w:lang w:val="en-AU"/>
        </w:rPr>
        <w:t xml:space="preserve">potential </w:t>
      </w:r>
      <w:r w:rsidRPr="006F4023">
        <w:rPr>
          <w:lang w:val="en-AU"/>
        </w:rPr>
        <w:t>pathways can be</w:t>
      </w:r>
      <w:r w:rsidR="00322E77" w:rsidRPr="006F4023">
        <w:rPr>
          <w:lang w:val="en-AU"/>
        </w:rPr>
        <w:t xml:space="preserve"> identified, and this is an area of ongoing research</w:t>
      </w:r>
      <w:r w:rsidRPr="006F4023">
        <w:rPr>
          <w:lang w:val="en-AU"/>
        </w:rPr>
        <w:t>.</w:t>
      </w:r>
      <w:r w:rsidR="00322E77" w:rsidRPr="0038473D">
        <w:rPr>
          <w:lang w:val="en-AU"/>
        </w:rPr>
        <w:t xml:space="preserve"> </w:t>
      </w:r>
    </w:p>
    <w:p w14:paraId="6D7FCD5F" w14:textId="77777777" w:rsidR="00B73009" w:rsidRPr="006F4023" w:rsidRDefault="00B73009" w:rsidP="00B73009">
      <w:pPr>
        <w:pStyle w:val="BodyText"/>
        <w:rPr>
          <w:lang w:val="en-AU"/>
        </w:rPr>
      </w:pPr>
      <w:r w:rsidRPr="0038473D">
        <w:rPr>
          <w:b/>
          <w:bCs/>
          <w:lang w:val="en-AU"/>
        </w:rPr>
        <w:t>Uncertainty Analysis:</w:t>
      </w:r>
      <w:r w:rsidRPr="006F4023">
        <w:rPr>
          <w:lang w:val="en-AU"/>
        </w:rPr>
        <w:t xml:space="preserve"> As described above, for scenarios of this type it is wise to assess structural/conceptual uncertainty as well as parameter/measurement uncertainty. Perhaps the most important uncertainty relates to the probability of juxtaposition and the derived fault juxtaposition areas. </w:t>
      </w:r>
    </w:p>
    <w:p w14:paraId="5AF6B3C4" w14:textId="6AC2B284" w:rsidR="00B73009" w:rsidRPr="006F4023" w:rsidRDefault="00B73009" w:rsidP="00B73009">
      <w:pPr>
        <w:pStyle w:val="BodyText"/>
        <w:rPr>
          <w:lang w:val="en-AU"/>
        </w:rPr>
        <w:sectPr w:rsidR="00B73009" w:rsidRPr="006F4023" w:rsidSect="00313C0C">
          <w:pgSz w:w="11906" w:h="16838" w:code="9"/>
          <w:pgMar w:top="1701" w:right="1418" w:bottom="1418" w:left="1418" w:header="567" w:footer="567" w:gutter="0"/>
          <w:cols w:space="708"/>
          <w:docGrid w:linePitch="360"/>
        </w:sectPr>
      </w:pPr>
      <w:r w:rsidRPr="006F4023">
        <w:rPr>
          <w:b/>
          <w:bCs/>
          <w:lang w:val="en-AU"/>
        </w:rPr>
        <w:t>Flow simulation and risk assessment:</w:t>
      </w:r>
      <w:r w:rsidRPr="006F4023">
        <w:rPr>
          <w:lang w:val="en-AU"/>
        </w:rPr>
        <w:t xml:space="preserve"> After a comprehensive list of potential pathways has been developed, the normal procedure would be to perform flow simulations or calculations for the various potential pathways, and then proceed to the determination of causal pathways and the final risk assessment. Flow modelling which account for the identified fault related flow pathways and the uncertainties associated with them, followed by a comparative risk analysis would enable the identification of causal pathways and potential risks.   </w:t>
      </w:r>
    </w:p>
    <w:p w14:paraId="455B4E21" w14:textId="1EA83BF7" w:rsidR="00B73009" w:rsidRPr="006F4023" w:rsidRDefault="007F3E43" w:rsidP="00B73009">
      <w:pPr>
        <w:pStyle w:val="Caption"/>
      </w:pPr>
      <w:r>
        <w:rPr>
          <w:noProof/>
          <w:lang w:eastAsia="en-AU"/>
        </w:rPr>
        <w:lastRenderedPageBreak/>
        <w:drawing>
          <wp:inline distT="0" distB="0" distL="0" distR="0" wp14:anchorId="647B2510" wp14:editId="374C6F94">
            <wp:extent cx="7432040" cy="54197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460220" cy="5440275"/>
                    </a:xfrm>
                    <a:prstGeom prst="rect">
                      <a:avLst/>
                    </a:prstGeom>
                    <a:noFill/>
                  </pic:spPr>
                </pic:pic>
              </a:graphicData>
            </a:graphic>
          </wp:inline>
        </w:drawing>
      </w:r>
    </w:p>
    <w:p w14:paraId="5AD11F5A" w14:textId="2147DDA6" w:rsidR="00B73009" w:rsidRPr="006F4023" w:rsidRDefault="00AD5EDF" w:rsidP="00B73009">
      <w:pPr>
        <w:pStyle w:val="Caption"/>
        <w:sectPr w:rsidR="00B73009" w:rsidRPr="006F4023" w:rsidSect="00165B18">
          <w:pgSz w:w="16838" w:h="11906" w:orient="landscape" w:code="9"/>
          <w:pgMar w:top="1418" w:right="1701" w:bottom="1418" w:left="1418" w:header="567" w:footer="567" w:gutter="0"/>
          <w:cols w:space="708"/>
          <w:docGrid w:linePitch="360"/>
        </w:sectPr>
      </w:pPr>
      <w:bookmarkStart w:id="477" w:name="_Ref57022554"/>
      <w:r w:rsidRPr="0038473D">
        <w:t xml:space="preserve">Figure </w:t>
      </w:r>
      <w:r w:rsidRPr="0038473D">
        <w:fldChar w:fldCharType="begin"/>
      </w:r>
      <w:r w:rsidRPr="006F4023">
        <w:instrText xml:space="preserve"> SEQ Figure \* ARABIC </w:instrText>
      </w:r>
      <w:r w:rsidRPr="0038473D">
        <w:fldChar w:fldCharType="separate"/>
      </w:r>
      <w:r w:rsidR="00047351">
        <w:rPr>
          <w:noProof/>
        </w:rPr>
        <w:t>9</w:t>
      </w:r>
      <w:r w:rsidRPr="0038473D">
        <w:fldChar w:fldCharType="end"/>
      </w:r>
      <w:bookmarkEnd w:id="477"/>
      <w:r w:rsidR="00B73009" w:rsidRPr="006F4023">
        <w:t>:</w:t>
      </w:r>
      <w:r w:rsidR="00B73009" w:rsidRPr="0038473D">
        <w:t xml:space="preserve"> Conceptual diagram of a</w:t>
      </w:r>
      <w:r w:rsidR="001F3217" w:rsidRPr="0038473D">
        <w:t>n</w:t>
      </w:r>
      <w:r w:rsidR="00B73009" w:rsidRPr="006F4023">
        <w:t xml:space="preserve"> ‘aquifer-aquitard system’ scenario.</w:t>
      </w:r>
    </w:p>
    <w:p w14:paraId="01165E80" w14:textId="77777777" w:rsidR="00B73009" w:rsidRPr="006F4023" w:rsidRDefault="00B73009" w:rsidP="00B73009"/>
    <w:p w14:paraId="483ACA44" w14:textId="3BC4958F" w:rsidR="00741420" w:rsidRPr="006F4023" w:rsidRDefault="00741420" w:rsidP="00741420">
      <w:pPr>
        <w:pStyle w:val="Heading1Numbered"/>
      </w:pPr>
      <w:bookmarkStart w:id="478" w:name="_Toc66967241"/>
      <w:r w:rsidRPr="0038473D">
        <w:t xml:space="preserve">Example </w:t>
      </w:r>
      <w:r w:rsidRPr="006F4023">
        <w:t>Scenario D</w:t>
      </w:r>
      <w:r w:rsidR="00B73009" w:rsidRPr="006F4023">
        <w:br/>
        <w:t>Differential subsidence or stresses reactivating faults</w:t>
      </w:r>
      <w:bookmarkEnd w:id="478"/>
    </w:p>
    <w:p w14:paraId="282E85F3" w14:textId="2B904B26" w:rsidR="00B73009" w:rsidRPr="006F4023" w:rsidRDefault="00B73009" w:rsidP="00B73009">
      <w:pPr>
        <w:pStyle w:val="BodyText"/>
        <w:rPr>
          <w:lang w:val="en-AU"/>
        </w:rPr>
      </w:pPr>
      <w:r w:rsidRPr="006F4023">
        <w:rPr>
          <w:lang w:val="en-AU"/>
        </w:rPr>
        <w:t xml:space="preserve">The fourth scenario in Table 1, is where ground movement, including subsidence, occurs due to changing stress fields associated with underground mining or near open cut mines. Ground movement results in reactivation of faults or causes the development of </w:t>
      </w:r>
      <w:r w:rsidR="00322E77" w:rsidRPr="006F4023">
        <w:rPr>
          <w:lang w:val="en-AU"/>
        </w:rPr>
        <w:t>mining induced fracturing</w:t>
      </w:r>
      <w:r w:rsidRPr="006F4023">
        <w:rPr>
          <w:lang w:val="en-AU"/>
        </w:rPr>
        <w:t xml:space="preserve">. </w:t>
      </w:r>
      <w:r w:rsidR="005202A0" w:rsidRPr="006F4023">
        <w:rPr>
          <w:lang w:val="en-AU"/>
        </w:rPr>
        <w:t>The extent of fracture propagation above the mining horizon depends on a range of factors including the thickness and strength of the overlying strata as well as he mine design (ratio of mining void width to depth of cover, thickness of the coal seam mined, support pillar dimensions). Ground movement will take advantage of fault planes which</w:t>
      </w:r>
      <w:r w:rsidRPr="006F4023">
        <w:rPr>
          <w:lang w:val="en-AU"/>
        </w:rPr>
        <w:t xml:space="preserve"> has the potential to enhance the flow rates through existing faults and</w:t>
      </w:r>
      <w:r w:rsidR="00714767" w:rsidRPr="006F4023">
        <w:rPr>
          <w:lang w:val="en-AU"/>
        </w:rPr>
        <w:t xml:space="preserve"> mining induced</w:t>
      </w:r>
      <w:r w:rsidRPr="006F4023">
        <w:rPr>
          <w:lang w:val="en-AU"/>
        </w:rPr>
        <w:t xml:space="preserve"> fractures (potentially by many orders of magnitude)</w:t>
      </w:r>
      <w:r w:rsidR="00714767" w:rsidRPr="006F4023">
        <w:rPr>
          <w:lang w:val="en-AU"/>
        </w:rPr>
        <w:t>. Where</w:t>
      </w:r>
      <w:r w:rsidRPr="006F4023">
        <w:rPr>
          <w:lang w:val="en-AU"/>
        </w:rPr>
        <w:t xml:space="preserve"> groundwater assets or GDEs are nearby</w:t>
      </w:r>
      <w:r w:rsidR="00714767" w:rsidRPr="006F4023">
        <w:rPr>
          <w:lang w:val="en-AU"/>
        </w:rPr>
        <w:t xml:space="preserve">, this situation is of concern and requires baseline, predictive </w:t>
      </w:r>
      <w:proofErr w:type="gramStart"/>
      <w:r w:rsidR="00714767" w:rsidRPr="006F4023">
        <w:rPr>
          <w:lang w:val="en-AU"/>
        </w:rPr>
        <w:t>simulation</w:t>
      </w:r>
      <w:proofErr w:type="gramEnd"/>
      <w:r w:rsidR="00714767" w:rsidRPr="006F4023">
        <w:rPr>
          <w:lang w:val="en-AU"/>
        </w:rPr>
        <w:t xml:space="preserve"> and ongoing monitoring studies as part of a hydrogeological risk assessment</w:t>
      </w:r>
      <w:r w:rsidRPr="006F4023">
        <w:rPr>
          <w:lang w:val="en-AU"/>
        </w:rPr>
        <w:t xml:space="preserve">. </w:t>
      </w:r>
    </w:p>
    <w:p w14:paraId="1BD57786" w14:textId="4865BBAE" w:rsidR="00B73009" w:rsidRPr="006F4023" w:rsidRDefault="00B73009" w:rsidP="00B73009">
      <w:pPr>
        <w:pStyle w:val="BodyText"/>
        <w:rPr>
          <w:lang w:val="en-AU"/>
        </w:rPr>
      </w:pPr>
      <w:r w:rsidRPr="0038473D">
        <w:rPr>
          <w:lang w:val="en-AU"/>
        </w:rPr>
        <w:t xml:space="preserve">When considering fault reactivation potential, the assessment should consider the fault zone orientation, mechanical strength of the fault, the in-situ stress and the pore pressure to </w:t>
      </w:r>
      <w:r w:rsidRPr="006F4023">
        <w:rPr>
          <w:lang w:val="en-AU"/>
        </w:rPr>
        <w:t>identify areas of highest risk (</w:t>
      </w:r>
      <w:proofErr w:type="spellStart"/>
      <w:r w:rsidRPr="006F4023">
        <w:rPr>
          <w:lang w:val="en-AU"/>
        </w:rPr>
        <w:t>Underschultz</w:t>
      </w:r>
      <w:proofErr w:type="spellEnd"/>
      <w:r w:rsidRPr="006F4023">
        <w:rPr>
          <w:lang w:val="en-AU"/>
        </w:rPr>
        <w:t xml:space="preserve"> et al. 2018)</w:t>
      </w:r>
      <w:r w:rsidR="00714767" w:rsidRPr="006F4023">
        <w:rPr>
          <w:lang w:val="en-AU"/>
        </w:rPr>
        <w:t xml:space="preserve">, integrated with geotechnical assessment of the overburden mechanical stratigraphy and </w:t>
      </w:r>
      <w:proofErr w:type="gramStart"/>
      <w:r w:rsidR="00714767" w:rsidRPr="006F4023">
        <w:rPr>
          <w:lang w:val="en-AU"/>
        </w:rPr>
        <w:t>mine</w:t>
      </w:r>
      <w:proofErr w:type="gramEnd"/>
      <w:r w:rsidR="00714767" w:rsidRPr="006F4023">
        <w:rPr>
          <w:lang w:val="en-AU"/>
        </w:rPr>
        <w:t xml:space="preserve"> design</w:t>
      </w:r>
      <w:r w:rsidRPr="006F4023">
        <w:rPr>
          <w:lang w:val="en-AU"/>
        </w:rPr>
        <w:t>. This</w:t>
      </w:r>
      <w:r w:rsidR="006F0469">
        <w:rPr>
          <w:lang w:val="en-AU"/>
        </w:rPr>
        <w:t xml:space="preserve"> assessment should yield a risk of reactivation and the </w:t>
      </w:r>
      <w:r w:rsidR="00F45456">
        <w:rPr>
          <w:lang w:val="en-AU"/>
        </w:rPr>
        <w:t xml:space="preserve">range of hydraulic connection the reactivated fault or </w:t>
      </w:r>
      <w:r w:rsidR="00F45456" w:rsidRPr="006F4023">
        <w:rPr>
          <w:lang w:val="en-AU"/>
        </w:rPr>
        <w:t>mining induced fracturing</w:t>
      </w:r>
      <w:r w:rsidR="00F45456">
        <w:rPr>
          <w:lang w:val="en-AU"/>
        </w:rPr>
        <w:t xml:space="preserve"> may cause, that </w:t>
      </w:r>
      <w:r w:rsidRPr="006F4023">
        <w:rPr>
          <w:lang w:val="en-AU"/>
        </w:rPr>
        <w:t xml:space="preserve">can then be incorporated into a groundwater model. </w:t>
      </w:r>
    </w:p>
    <w:p w14:paraId="675704A7" w14:textId="01DDDE87" w:rsidR="00B73009" w:rsidRPr="006F4023" w:rsidRDefault="00B73009" w:rsidP="00B73009">
      <w:pPr>
        <w:pStyle w:val="BodyText"/>
        <w:rPr>
          <w:lang w:val="en-AU"/>
        </w:rPr>
      </w:pPr>
      <w:r w:rsidRPr="0038473D">
        <w:rPr>
          <w:lang w:val="en-AU"/>
        </w:rPr>
        <w:t xml:space="preserve">Scenario D may require relatively extensive study and documentation of the possible flow paths, including the likelihood of </w:t>
      </w:r>
      <w:r w:rsidR="00DD5F8F" w:rsidRPr="006F4023">
        <w:rPr>
          <w:lang w:val="en-AU"/>
        </w:rPr>
        <w:t>mining</w:t>
      </w:r>
      <w:r w:rsidRPr="006F4023">
        <w:rPr>
          <w:lang w:val="en-AU"/>
        </w:rPr>
        <w:t>-induced changes. Careful assessment of the f</w:t>
      </w:r>
      <w:r w:rsidRPr="0038473D">
        <w:rPr>
          <w:lang w:val="en-AU"/>
        </w:rPr>
        <w:t>ault geometry, and how the known faults would be expected to respond to changes in the in-situ stress, would therefore form a key part of the fault analysis. Fault reactivation could change the aperture of fractures in fault damage zones and may also creat</w:t>
      </w:r>
      <w:r w:rsidRPr="006F4023">
        <w:rPr>
          <w:lang w:val="en-AU"/>
        </w:rPr>
        <w:t xml:space="preserve">e new flow pathways along the main failure surface of frictional sliding. </w:t>
      </w:r>
    </w:p>
    <w:p w14:paraId="50C118D6" w14:textId="52A3A001" w:rsidR="00B73009" w:rsidRPr="006F4023" w:rsidRDefault="00B73009" w:rsidP="00B73009">
      <w:pPr>
        <w:pStyle w:val="BodyText"/>
        <w:rPr>
          <w:lang w:val="en-AU"/>
        </w:rPr>
      </w:pPr>
      <w:r w:rsidRPr="006F4023">
        <w:rPr>
          <w:lang w:val="en-AU"/>
        </w:rPr>
        <w:t>Evaluating possible changes in potential flow pathways with ground movement including subsidence is important, though technically challenging and is an area of active research</w:t>
      </w:r>
      <w:r w:rsidR="00DD5F8F" w:rsidRPr="006F4023">
        <w:rPr>
          <w:lang w:val="en-AU"/>
        </w:rPr>
        <w:t xml:space="preserve"> in </w:t>
      </w:r>
      <w:r w:rsidR="006122E5">
        <w:rPr>
          <w:lang w:val="en-AU"/>
        </w:rPr>
        <w:t xml:space="preserve">geomechanics and </w:t>
      </w:r>
      <w:r w:rsidR="00DD5F8F" w:rsidRPr="006F4023">
        <w:rPr>
          <w:lang w:val="en-AU"/>
        </w:rPr>
        <w:t>groundwater modelling</w:t>
      </w:r>
      <w:r w:rsidR="006122E5">
        <w:rPr>
          <w:lang w:val="en-AU"/>
        </w:rPr>
        <w:t xml:space="preserve"> (see for example CSIRO (2021)</w:t>
      </w:r>
      <w:r w:rsidRPr="006F4023">
        <w:rPr>
          <w:lang w:val="en-AU"/>
        </w:rPr>
        <w:t>. Given the complexity of Scenario D, a quantitative assessment of uncertainty and risk for fault-related flow paths may not be possible, and instead a worse case assessment could be adopt</w:t>
      </w:r>
      <w:r w:rsidRPr="0038473D">
        <w:rPr>
          <w:lang w:val="en-AU"/>
        </w:rPr>
        <w:t>ed</w:t>
      </w:r>
      <w:r w:rsidR="00DD5F8F" w:rsidRPr="006F4023">
        <w:rPr>
          <w:lang w:val="en-AU"/>
        </w:rPr>
        <w:t xml:space="preserve">, and with reference to relevant empirical data and case studies in similar hydrogeological settings with similar </w:t>
      </w:r>
      <w:proofErr w:type="gramStart"/>
      <w:r w:rsidR="00DD5F8F" w:rsidRPr="006F4023">
        <w:rPr>
          <w:lang w:val="en-AU"/>
        </w:rPr>
        <w:t>mine</w:t>
      </w:r>
      <w:proofErr w:type="gramEnd"/>
      <w:r w:rsidR="00DD5F8F" w:rsidRPr="006F4023">
        <w:rPr>
          <w:lang w:val="en-AU"/>
        </w:rPr>
        <w:t xml:space="preserve"> design</w:t>
      </w:r>
      <w:r w:rsidRPr="006F4023">
        <w:rPr>
          <w:lang w:val="en-AU"/>
        </w:rPr>
        <w:t>.</w:t>
      </w:r>
      <w:r w:rsidR="00DD5F8F" w:rsidRPr="006F4023">
        <w:rPr>
          <w:lang w:val="en-AU"/>
        </w:rPr>
        <w:t xml:space="preserve"> This is an area of active research and requires diligent environmental monitoring from baseline through post extraction res</w:t>
      </w:r>
      <w:r w:rsidR="00DD5F8F" w:rsidRPr="0038473D">
        <w:rPr>
          <w:lang w:val="en-AU"/>
        </w:rPr>
        <w:t>ponse of the hydrogeological system</w:t>
      </w:r>
      <w:r w:rsidR="00F94B24" w:rsidRPr="006F4023">
        <w:rPr>
          <w:lang w:val="en-AU"/>
        </w:rPr>
        <w:t xml:space="preserve"> to inform an</w:t>
      </w:r>
      <w:r w:rsidR="00F94B24" w:rsidRPr="0038473D">
        <w:rPr>
          <w:lang w:val="en-AU"/>
        </w:rPr>
        <w:t>d enhance the accuracy of predictive numerical models</w:t>
      </w:r>
      <w:r w:rsidR="00DD5F8F" w:rsidRPr="0038473D">
        <w:rPr>
          <w:lang w:val="en-AU"/>
        </w:rPr>
        <w:t xml:space="preserve">. </w:t>
      </w:r>
      <w:r w:rsidR="00572D0A" w:rsidRPr="006F4023">
        <w:rPr>
          <w:lang w:val="en-AU"/>
        </w:rPr>
        <w:t xml:space="preserve">It might then be possible to establish mine design guidelines to provide acceptable outcomes for environmental receptors and increased certainty of environmental compliance. </w:t>
      </w:r>
    </w:p>
    <w:p w14:paraId="126E735D" w14:textId="77777777" w:rsidR="00741420" w:rsidRPr="006F4023" w:rsidRDefault="00741420" w:rsidP="00741420">
      <w:pPr>
        <w:pStyle w:val="Heading1Numbered"/>
      </w:pPr>
      <w:r w:rsidRPr="006F4023">
        <w:br w:type="page"/>
      </w:r>
    </w:p>
    <w:p w14:paraId="6F6F1ED1" w14:textId="324C7667" w:rsidR="00741420" w:rsidRPr="006F4023" w:rsidRDefault="00741420" w:rsidP="00741420">
      <w:pPr>
        <w:pStyle w:val="Heading1Numbered"/>
      </w:pPr>
    </w:p>
    <w:p w14:paraId="30BD2336" w14:textId="14FE21F4" w:rsidR="00741420" w:rsidRPr="006F4023" w:rsidRDefault="00741420" w:rsidP="00741420">
      <w:pPr>
        <w:pStyle w:val="Heading1Numbered"/>
      </w:pPr>
    </w:p>
    <w:p w14:paraId="645ED53A" w14:textId="62FCA801" w:rsidR="00741420" w:rsidRPr="006F4023" w:rsidRDefault="00741420" w:rsidP="00741420">
      <w:pPr>
        <w:pStyle w:val="Heading1Numbered"/>
      </w:pPr>
    </w:p>
    <w:p w14:paraId="17E78E0D" w14:textId="252706D0" w:rsidR="00FB076C" w:rsidRPr="006F4023" w:rsidRDefault="00FB076C" w:rsidP="00FB076C">
      <w:pPr>
        <w:pStyle w:val="Heading1Numbered"/>
      </w:pPr>
    </w:p>
    <w:p w14:paraId="1B0764DD" w14:textId="77777777" w:rsidR="00CA49C5" w:rsidRPr="006F4023" w:rsidRDefault="00CA49C5">
      <w:pPr>
        <w:rPr>
          <w:rFonts w:ascii="Garamond" w:hAnsi="Garamond"/>
          <w:b/>
          <w:sz w:val="20"/>
          <w:szCs w:val="20"/>
        </w:rPr>
      </w:pPr>
    </w:p>
    <w:p w14:paraId="29414857" w14:textId="77777777" w:rsidR="00523B68" w:rsidRPr="006F4023" w:rsidRDefault="006657DE" w:rsidP="00EE62CA">
      <w:pPr>
        <w:rPr>
          <w:rFonts w:ascii="Garamond" w:hAnsi="Garamond"/>
          <w:b/>
          <w:sz w:val="20"/>
          <w:szCs w:val="20"/>
        </w:rPr>
      </w:pPr>
      <w:r w:rsidRPr="006F4023">
        <w:rPr>
          <w:rFonts w:ascii="Garamond" w:hAnsi="Garamond"/>
          <w:b/>
          <w:noProof/>
          <w:sz w:val="20"/>
          <w:szCs w:val="20"/>
          <w:lang w:eastAsia="en-AU"/>
        </w:rPr>
        <w:drawing>
          <wp:anchor distT="0" distB="0" distL="114300" distR="114300" simplePos="0" relativeHeight="251658243" behindDoc="0" locked="0" layoutInCell="1" allowOverlap="1" wp14:anchorId="683B6505" wp14:editId="499F57B1">
            <wp:simplePos x="0" y="0"/>
            <wp:positionH relativeFrom="page">
              <wp:align>center</wp:align>
            </wp:positionH>
            <wp:positionV relativeFrom="page">
              <wp:align>top</wp:align>
            </wp:positionV>
            <wp:extent cx="7578000" cy="10710000"/>
            <wp:effectExtent l="0" t="0" r="4445" b="0"/>
            <wp:wrapNone/>
            <wp:docPr id="3" name="Picture 3" descr="Official crest of the Australian Government. This initiative is funded by the Australian Government. &#10;www.iesc.environment.gov.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ESC_BACK-COVER.png"/>
                    <pic:cNvPicPr/>
                  </pic:nvPicPr>
                  <pic:blipFill>
                    <a:blip r:embed="rId72">
                      <a:extLst>
                        <a:ext uri="{28A0092B-C50C-407E-A947-70E740481C1C}">
                          <a14:useLocalDpi xmlns:a14="http://schemas.microsoft.com/office/drawing/2010/main" val="0"/>
                        </a:ext>
                      </a:extLst>
                    </a:blip>
                    <a:stretch>
                      <a:fillRect/>
                    </a:stretch>
                  </pic:blipFill>
                  <pic:spPr>
                    <a:xfrm>
                      <a:off x="0" y="0"/>
                      <a:ext cx="7578000" cy="10710000"/>
                    </a:xfrm>
                    <a:prstGeom prst="rect">
                      <a:avLst/>
                    </a:prstGeom>
                  </pic:spPr>
                </pic:pic>
              </a:graphicData>
            </a:graphic>
            <wp14:sizeRelH relativeFrom="margin">
              <wp14:pctWidth>0</wp14:pctWidth>
            </wp14:sizeRelH>
            <wp14:sizeRelV relativeFrom="margin">
              <wp14:pctHeight>0</wp14:pctHeight>
            </wp14:sizeRelV>
          </wp:anchor>
        </w:drawing>
      </w:r>
    </w:p>
    <w:p w14:paraId="4880ED40" w14:textId="77777777" w:rsidR="00523B68" w:rsidRPr="0038473D" w:rsidRDefault="00523B68" w:rsidP="00EE62CA">
      <w:pPr>
        <w:rPr>
          <w:rFonts w:ascii="Garamond" w:hAnsi="Garamond"/>
          <w:b/>
          <w:sz w:val="20"/>
          <w:szCs w:val="20"/>
        </w:rPr>
      </w:pPr>
    </w:p>
    <w:p w14:paraId="151A7A35" w14:textId="77777777" w:rsidR="00523B68" w:rsidRPr="0038473D" w:rsidRDefault="00523B68" w:rsidP="00EE62CA">
      <w:pPr>
        <w:rPr>
          <w:rFonts w:ascii="Garamond" w:hAnsi="Garamond"/>
          <w:b/>
          <w:sz w:val="20"/>
          <w:szCs w:val="20"/>
        </w:rPr>
      </w:pPr>
    </w:p>
    <w:p w14:paraId="33CF0172" w14:textId="77777777" w:rsidR="00523B68" w:rsidRPr="006F4023" w:rsidRDefault="00523B68" w:rsidP="00EE62CA">
      <w:pPr>
        <w:rPr>
          <w:rFonts w:ascii="Garamond" w:hAnsi="Garamond"/>
          <w:b/>
          <w:sz w:val="20"/>
          <w:szCs w:val="20"/>
        </w:rPr>
      </w:pPr>
    </w:p>
    <w:p w14:paraId="2777431D" w14:textId="77777777" w:rsidR="00523B68" w:rsidRPr="006F4023" w:rsidRDefault="00523B68" w:rsidP="00EE62CA">
      <w:pPr>
        <w:rPr>
          <w:rFonts w:ascii="Garamond" w:hAnsi="Garamond"/>
          <w:b/>
          <w:sz w:val="20"/>
          <w:szCs w:val="20"/>
        </w:rPr>
      </w:pPr>
    </w:p>
    <w:p w14:paraId="25567B11" w14:textId="77777777" w:rsidR="00523B68" w:rsidRPr="006F4023" w:rsidRDefault="00523B68" w:rsidP="00EE62CA">
      <w:pPr>
        <w:rPr>
          <w:rFonts w:ascii="Garamond" w:hAnsi="Garamond"/>
          <w:b/>
          <w:sz w:val="20"/>
          <w:szCs w:val="20"/>
        </w:rPr>
      </w:pPr>
    </w:p>
    <w:p w14:paraId="01BBF241" w14:textId="77777777" w:rsidR="00523B68" w:rsidRPr="006F4023" w:rsidRDefault="00523B68" w:rsidP="00EE62CA">
      <w:pPr>
        <w:rPr>
          <w:rFonts w:ascii="Garamond" w:hAnsi="Garamond"/>
          <w:b/>
          <w:sz w:val="20"/>
          <w:szCs w:val="20"/>
        </w:rPr>
      </w:pPr>
    </w:p>
    <w:p w14:paraId="22494822" w14:textId="77777777" w:rsidR="00523B68" w:rsidRPr="006F4023" w:rsidRDefault="00523B68" w:rsidP="00EE62CA">
      <w:pPr>
        <w:rPr>
          <w:rFonts w:ascii="Garamond" w:hAnsi="Garamond"/>
          <w:b/>
          <w:sz w:val="20"/>
          <w:szCs w:val="20"/>
        </w:rPr>
      </w:pPr>
    </w:p>
    <w:p w14:paraId="706113BF" w14:textId="77777777" w:rsidR="00523B68" w:rsidRPr="006F4023" w:rsidRDefault="006657DE" w:rsidP="00EE62CA">
      <w:pPr>
        <w:rPr>
          <w:rFonts w:ascii="Garamond" w:hAnsi="Garamond"/>
          <w:b/>
          <w:sz w:val="20"/>
          <w:szCs w:val="20"/>
        </w:rPr>
      </w:pPr>
      <w:r w:rsidRPr="006F4023">
        <w:rPr>
          <w:noProof/>
          <w:lang w:eastAsia="en-AU"/>
        </w:rPr>
        <w:drawing>
          <wp:anchor distT="0" distB="0" distL="114300" distR="114300" simplePos="0" relativeHeight="251658242" behindDoc="1" locked="0" layoutInCell="1" allowOverlap="1" wp14:anchorId="00F40A34" wp14:editId="2D382BC2">
            <wp:simplePos x="0" y="0"/>
            <wp:positionH relativeFrom="page">
              <wp:posOffset>11430</wp:posOffset>
            </wp:positionH>
            <wp:positionV relativeFrom="page">
              <wp:posOffset>3271097</wp:posOffset>
            </wp:positionV>
            <wp:extent cx="7747200" cy="5810400"/>
            <wp:effectExtent l="0" t="0" r="0" b="6350"/>
            <wp:wrapNone/>
            <wp:docPr id="1" name="Picture 1" descr="Reflections on the lake at the Hunter Wetlands Centre (Shortlands We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1 Front cover.jpg"/>
                    <pic:cNvPicPr/>
                  </pic:nvPicPr>
                  <pic:blipFill>
                    <a:blip r:embed="rId31">
                      <a:extLst>
                        <a:ext uri="{28A0092B-C50C-407E-A947-70E740481C1C}">
                          <a14:useLocalDpi xmlns:a14="http://schemas.microsoft.com/office/drawing/2010/main" val="0"/>
                        </a:ext>
                      </a:extLst>
                    </a:blip>
                    <a:stretch>
                      <a:fillRect/>
                    </a:stretch>
                  </pic:blipFill>
                  <pic:spPr>
                    <a:xfrm>
                      <a:off x="0" y="0"/>
                      <a:ext cx="7747200" cy="5810400"/>
                    </a:xfrm>
                    <a:prstGeom prst="rect">
                      <a:avLst/>
                    </a:prstGeom>
                  </pic:spPr>
                </pic:pic>
              </a:graphicData>
            </a:graphic>
            <wp14:sizeRelH relativeFrom="margin">
              <wp14:pctWidth>0</wp14:pctWidth>
            </wp14:sizeRelH>
            <wp14:sizeRelV relativeFrom="margin">
              <wp14:pctHeight>0</wp14:pctHeight>
            </wp14:sizeRelV>
          </wp:anchor>
        </w:drawing>
      </w:r>
    </w:p>
    <w:sectPr w:rsidR="00523B68" w:rsidRPr="006F4023" w:rsidSect="007C0C90">
      <w:pgSz w:w="11906" w:h="16838" w:code="9"/>
      <w:pgMar w:top="1701" w:right="1418" w:bottom="1418" w:left="1418"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EDA18D" w14:textId="77777777" w:rsidR="00D433AC" w:rsidRDefault="00D433AC" w:rsidP="00B24EF6">
      <w:r>
        <w:separator/>
      </w:r>
    </w:p>
  </w:endnote>
  <w:endnote w:type="continuationSeparator" w:id="0">
    <w:p w14:paraId="3EFA0566" w14:textId="77777777" w:rsidR="00D433AC" w:rsidRDefault="00D433AC" w:rsidP="00B24EF6">
      <w:r>
        <w:continuationSeparator/>
      </w:r>
    </w:p>
  </w:endnote>
  <w:endnote w:type="continuationNotice" w:id="1">
    <w:p w14:paraId="623383BA" w14:textId="77777777" w:rsidR="00D433AC" w:rsidRDefault="00D433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dobe Garamond Pro">
    <w:altName w:val="Times New Roman"/>
    <w:panose1 w:val="00000000000000000000"/>
    <w:charset w:val="00"/>
    <w:family w:val="roman"/>
    <w:notTrueType/>
    <w:pitch w:val="variable"/>
    <w:sig w:usb0="00000007" w:usb1="00000001" w:usb2="00000000" w:usb3="00000000" w:csb0="00000093" w:csb1="00000000"/>
  </w:font>
  <w:font w:name="Garamond">
    <w:panose1 w:val="02020404030301010803"/>
    <w:charset w:val="00"/>
    <w:family w:val="roman"/>
    <w:pitch w:val="variable"/>
    <w:sig w:usb0="00000287" w:usb1="00000000" w:usb2="00000000" w:usb3="00000000" w:csb0="0000009F" w:csb1="00000000"/>
  </w:font>
  <w:font w:name="Adobe Garamond Pro Bold">
    <w:altName w:val="Constantia"/>
    <w:panose1 w:val="00000000000000000000"/>
    <w:charset w:val="00"/>
    <w:family w:val="roman"/>
    <w:notTrueType/>
    <w:pitch w:val="variable"/>
    <w:sig w:usb0="00000007" w:usb1="00000001" w:usb2="00000000" w:usb3="00000000" w:csb0="00000093" w:csb1="00000000"/>
  </w:font>
  <w:font w:name="Times New Roman (Body CS)">
    <w:altName w:val="Times New Roman"/>
    <w:charset w:val="00"/>
    <w:family w:val="roman"/>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94C53" w14:textId="77777777" w:rsidR="005863E1" w:rsidRDefault="005863E1" w:rsidP="00442520">
    <w:pPr>
      <w:pStyle w:val="Footer"/>
      <w:framePr w:wrap="none" w:vAnchor="text" w:hAnchor="margin" w:xAlign="outside" w:y="1"/>
    </w:pPr>
  </w:p>
  <w:p w14:paraId="2B61FD98" w14:textId="77777777" w:rsidR="005863E1" w:rsidRPr="00442520" w:rsidRDefault="005863E1" w:rsidP="00442520">
    <w:pPr>
      <w:pStyle w:val="Footer"/>
      <w:tabs>
        <w:tab w:val="clear" w:pos="4513"/>
      </w:tabs>
      <w:ind w:right="360" w:firstLine="360"/>
      <w:rPr>
        <w:color w:val="005695"/>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81400625"/>
      <w:docPartObj>
        <w:docPartGallery w:val="Page Numbers (Bottom of Page)"/>
        <w:docPartUnique/>
      </w:docPartObj>
    </w:sdtPr>
    <w:sdtEndPr>
      <w:rPr>
        <w:rStyle w:val="PageNumber"/>
      </w:rPr>
    </w:sdtEndPr>
    <w:sdtContent>
      <w:p w14:paraId="6BA4F2DC" w14:textId="77777777" w:rsidR="005863E1" w:rsidRDefault="005863E1" w:rsidP="00B24EF6">
        <w:pPr>
          <w:pStyle w:val="Footer"/>
          <w:framePr w:wrap="none" w:vAnchor="text" w:hAnchor="margin" w:xAlign="outside" w:y="1"/>
          <w:rPr>
            <w:rStyle w:val="PageNumber"/>
          </w:rPr>
        </w:pPr>
        <w:r w:rsidRPr="00B24EF6">
          <w:rPr>
            <w:rStyle w:val="PageNumber"/>
            <w:sz w:val="16"/>
            <w:szCs w:val="16"/>
          </w:rPr>
          <w:fldChar w:fldCharType="begin"/>
        </w:r>
        <w:r w:rsidRPr="00B24EF6">
          <w:rPr>
            <w:rStyle w:val="PageNumber"/>
            <w:sz w:val="16"/>
            <w:szCs w:val="16"/>
          </w:rPr>
          <w:instrText xml:space="preserve"> PAGE </w:instrText>
        </w:r>
        <w:r w:rsidRPr="00B24EF6">
          <w:rPr>
            <w:rStyle w:val="PageNumber"/>
            <w:sz w:val="16"/>
            <w:szCs w:val="16"/>
          </w:rPr>
          <w:fldChar w:fldCharType="separate"/>
        </w:r>
        <w:r w:rsidRPr="00B24EF6">
          <w:rPr>
            <w:rStyle w:val="PageNumber"/>
            <w:noProof/>
            <w:sz w:val="16"/>
            <w:szCs w:val="16"/>
          </w:rPr>
          <w:t>3</w:t>
        </w:r>
        <w:r w:rsidRPr="00B24EF6">
          <w:rPr>
            <w:rStyle w:val="PageNumber"/>
            <w:sz w:val="16"/>
            <w:szCs w:val="16"/>
          </w:rPr>
          <w:fldChar w:fldCharType="end"/>
        </w:r>
      </w:p>
    </w:sdtContent>
  </w:sdt>
  <w:p w14:paraId="3205D96F" w14:textId="77777777" w:rsidR="005863E1" w:rsidRPr="00B24EF6" w:rsidRDefault="005863E1" w:rsidP="00B24EF6">
    <w:pPr>
      <w:pStyle w:val="Footer"/>
      <w:ind w:right="360" w:firstLine="360"/>
      <w:jc w:val="right"/>
      <w:rPr>
        <w:color w:val="005695"/>
        <w:sz w:val="16"/>
        <w:szCs w:val="16"/>
      </w:rPr>
    </w:pPr>
    <w:r w:rsidRPr="00B24EF6">
      <w:rPr>
        <w:color w:val="005695"/>
        <w:sz w:val="16"/>
        <w:szCs w:val="16"/>
      </w:rPr>
      <w:t>&lt;Title of report&gt; Calibri 8pt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8"/>
        <w:szCs w:val="18"/>
      </w:rPr>
      <w:id w:val="-1728220391"/>
      <w:docPartObj>
        <w:docPartGallery w:val="Page Numbers (Bottom of Page)"/>
        <w:docPartUnique/>
      </w:docPartObj>
    </w:sdtPr>
    <w:sdtEndPr>
      <w:rPr>
        <w:rStyle w:val="PageNumber"/>
      </w:rPr>
    </w:sdtEndPr>
    <w:sdtContent>
      <w:p w14:paraId="18A086ED" w14:textId="77777777" w:rsidR="005863E1" w:rsidRPr="006A1510" w:rsidRDefault="005863E1" w:rsidP="006A1510">
        <w:pPr>
          <w:pStyle w:val="Footer"/>
          <w:framePr w:wrap="none" w:vAnchor="text" w:hAnchor="margin" w:xAlign="outside" w:y="1"/>
          <w:rPr>
            <w:sz w:val="18"/>
            <w:szCs w:val="18"/>
          </w:rPr>
        </w:pPr>
        <w:r w:rsidRPr="006A1510">
          <w:rPr>
            <w:rStyle w:val="PageNumber"/>
            <w:sz w:val="18"/>
            <w:szCs w:val="18"/>
          </w:rPr>
          <w:fldChar w:fldCharType="begin"/>
        </w:r>
        <w:r w:rsidRPr="006A1510">
          <w:rPr>
            <w:rStyle w:val="PageNumber"/>
            <w:sz w:val="18"/>
            <w:szCs w:val="18"/>
          </w:rPr>
          <w:instrText xml:space="preserve"> PAGE </w:instrText>
        </w:r>
        <w:r w:rsidRPr="006A1510">
          <w:rPr>
            <w:rStyle w:val="PageNumber"/>
            <w:sz w:val="18"/>
            <w:szCs w:val="18"/>
          </w:rPr>
          <w:fldChar w:fldCharType="separate"/>
        </w:r>
        <w:r>
          <w:rPr>
            <w:rStyle w:val="PageNumber"/>
            <w:noProof/>
            <w:sz w:val="18"/>
            <w:szCs w:val="18"/>
          </w:rPr>
          <w:t>6</w:t>
        </w:r>
        <w:r w:rsidRPr="006A1510">
          <w:rPr>
            <w:rStyle w:val="PageNumber"/>
            <w:sz w:val="18"/>
            <w:szCs w:val="18"/>
          </w:rPr>
          <w:fldChar w:fldCharType="end"/>
        </w:r>
      </w:p>
    </w:sdtContent>
  </w:sdt>
  <w:p w14:paraId="6164FCF3" w14:textId="77777777" w:rsidR="005863E1" w:rsidRPr="006A1510" w:rsidRDefault="005863E1" w:rsidP="006A1510">
    <w:pPr>
      <w:pStyle w:val="Footer"/>
      <w:tabs>
        <w:tab w:val="clear" w:pos="4513"/>
      </w:tabs>
      <w:ind w:right="360" w:firstLine="360"/>
      <w:rPr>
        <w:color w:val="005695"/>
        <w:sz w:val="18"/>
        <w:szCs w:val="18"/>
        <w:lang w:val="en-US"/>
      </w:rPr>
    </w:pPr>
    <w:r w:rsidRPr="006A1510">
      <w:rPr>
        <w:color w:val="005695"/>
        <w:sz w:val="18"/>
        <w:szCs w:val="18"/>
        <w:lang w:val="en-US"/>
      </w:rPr>
      <w:tab/>
    </w:r>
    <w:r>
      <w:rPr>
        <w:color w:val="005695"/>
        <w:sz w:val="18"/>
        <w:szCs w:val="18"/>
        <w:lang w:val="en-US"/>
      </w:rPr>
      <w:t xml:space="preserve">Information Guidelines Explanatory Note: </w:t>
    </w:r>
    <w:proofErr w:type="spellStart"/>
    <w:r>
      <w:rPr>
        <w:color w:val="005695"/>
        <w:sz w:val="18"/>
        <w:szCs w:val="18"/>
        <w:lang w:val="en-US"/>
      </w:rPr>
      <w:t>Characterisation</w:t>
    </w:r>
    <w:proofErr w:type="spellEnd"/>
    <w:r>
      <w:rPr>
        <w:color w:val="005695"/>
        <w:sz w:val="18"/>
        <w:szCs w:val="18"/>
        <w:lang w:val="en-US"/>
      </w:rPr>
      <w:t xml:space="preserve"> and modelling of Geological Fault Zones</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7167042"/>
      <w:docPartObj>
        <w:docPartGallery w:val="Page Numbers (Bottom of Page)"/>
        <w:docPartUnique/>
      </w:docPartObj>
    </w:sdtPr>
    <w:sdtEndPr>
      <w:rPr>
        <w:noProof/>
      </w:rPr>
    </w:sdtEndPr>
    <w:sdtContent>
      <w:p w14:paraId="4090991F" w14:textId="68A4250D" w:rsidR="005863E1" w:rsidRDefault="00245460">
        <w:pPr>
          <w:pStyle w:val="Footer"/>
          <w:jc w:val="right"/>
        </w:pPr>
      </w:p>
    </w:sdtContent>
  </w:sdt>
  <w:p w14:paraId="07821869" w14:textId="77777777" w:rsidR="005863E1" w:rsidRPr="006A1510" w:rsidRDefault="00245460" w:rsidP="00D10957">
    <w:pPr>
      <w:pStyle w:val="Footer"/>
      <w:tabs>
        <w:tab w:val="clear" w:pos="4513"/>
      </w:tabs>
      <w:ind w:right="360" w:firstLine="360"/>
      <w:rPr>
        <w:color w:val="005695"/>
        <w:sz w:val="18"/>
        <w:szCs w:val="18"/>
        <w:lang w:val="en-US"/>
      </w:rPr>
    </w:pPr>
    <w:sdt>
      <w:sdtPr>
        <w:rPr>
          <w:rStyle w:val="PageNumber"/>
          <w:sz w:val="18"/>
          <w:szCs w:val="18"/>
        </w:rPr>
        <w:id w:val="-1818570291"/>
        <w:docPartObj>
          <w:docPartGallery w:val="Page Numbers (Bottom of Page)"/>
          <w:docPartUnique/>
        </w:docPartObj>
      </w:sdtPr>
      <w:sdtEndPr>
        <w:rPr>
          <w:rStyle w:val="PageNumber"/>
        </w:rPr>
      </w:sdtEndPr>
      <w:sdtContent>
        <w:r w:rsidR="005863E1" w:rsidRPr="002A7BAB">
          <w:rPr>
            <w:color w:val="005695"/>
            <w:sz w:val="18"/>
            <w:szCs w:val="18"/>
          </w:rPr>
          <w:t>Explanatory Note – Characterisation and modelling of Geological Fault Zones</w:t>
        </w:r>
        <w:r w:rsidR="005863E1" w:rsidRPr="006F4023">
          <w:rPr>
            <w:rStyle w:val="PageNumber"/>
            <w:sz w:val="18"/>
            <w:szCs w:val="18"/>
          </w:rPr>
          <w:tab/>
        </w:r>
      </w:sdtContent>
    </w:sdt>
  </w:p>
  <w:p w14:paraId="13FB3BB6" w14:textId="62D0A11C" w:rsidR="005863E1" w:rsidRPr="006F4023" w:rsidRDefault="005863E1" w:rsidP="00147A20">
    <w:pPr>
      <w:pStyle w:val="Footer"/>
      <w:tabs>
        <w:tab w:val="clear" w:pos="4513"/>
      </w:tabs>
      <w:ind w:right="360"/>
      <w:rPr>
        <w:color w:val="005695"/>
        <w:sz w:val="18"/>
        <w:szCs w:val="1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C81B3" w14:textId="77777777" w:rsidR="005863E1" w:rsidRPr="004E1E3F" w:rsidRDefault="005863E1" w:rsidP="004E1E3F">
    <w:pPr>
      <w:pStyle w:val="Footer"/>
      <w:tabs>
        <w:tab w:val="clear" w:pos="4513"/>
      </w:tabs>
      <w:ind w:right="360" w:firstLine="360"/>
      <w:rPr>
        <w:color w:val="005695"/>
        <w:sz w:val="18"/>
        <w:szCs w:val="1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7979285"/>
      <w:docPartObj>
        <w:docPartGallery w:val="Page Numbers (Bottom of Page)"/>
        <w:docPartUnique/>
      </w:docPartObj>
    </w:sdtPr>
    <w:sdtEndPr>
      <w:rPr>
        <w:noProof/>
      </w:rPr>
    </w:sdtEndPr>
    <w:sdtContent>
      <w:p w14:paraId="58D8A687" w14:textId="43821A89" w:rsidR="005863E1" w:rsidRDefault="00245460">
        <w:pPr>
          <w:pStyle w:val="Footer"/>
          <w:jc w:val="right"/>
        </w:pPr>
      </w:p>
    </w:sdtContent>
  </w:sdt>
  <w:p w14:paraId="2E859502" w14:textId="77777777" w:rsidR="005863E1" w:rsidRPr="006F4023" w:rsidRDefault="005863E1" w:rsidP="00147A20">
    <w:pPr>
      <w:pStyle w:val="Footer"/>
      <w:tabs>
        <w:tab w:val="clear" w:pos="4513"/>
      </w:tabs>
      <w:ind w:right="360"/>
      <w:rPr>
        <w:color w:val="005695"/>
        <w:sz w:val="18"/>
        <w:szCs w:val="18"/>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1489297"/>
      <w:docPartObj>
        <w:docPartGallery w:val="Page Numbers (Bottom of Page)"/>
        <w:docPartUnique/>
      </w:docPartObj>
    </w:sdtPr>
    <w:sdtEndPr>
      <w:rPr>
        <w:noProof/>
      </w:rPr>
    </w:sdtEndPr>
    <w:sdtContent>
      <w:p w14:paraId="071E7B1A" w14:textId="77777777" w:rsidR="005863E1" w:rsidRDefault="005863E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76547D9" w14:textId="747435C7" w:rsidR="005863E1" w:rsidRPr="002453C6" w:rsidRDefault="00245460" w:rsidP="002453C6">
    <w:pPr>
      <w:pStyle w:val="Footer"/>
      <w:tabs>
        <w:tab w:val="clear" w:pos="4513"/>
      </w:tabs>
      <w:ind w:right="360" w:firstLine="360"/>
      <w:rPr>
        <w:color w:val="005695"/>
        <w:sz w:val="18"/>
        <w:szCs w:val="18"/>
        <w:lang w:val="en-US"/>
      </w:rPr>
    </w:pPr>
    <w:sdt>
      <w:sdtPr>
        <w:rPr>
          <w:rStyle w:val="PageNumber"/>
          <w:sz w:val="18"/>
          <w:szCs w:val="18"/>
        </w:rPr>
        <w:id w:val="1096448375"/>
        <w:docPartObj>
          <w:docPartGallery w:val="Page Numbers (Bottom of Page)"/>
          <w:docPartUnique/>
        </w:docPartObj>
      </w:sdtPr>
      <w:sdtEndPr>
        <w:rPr>
          <w:rStyle w:val="PageNumber"/>
        </w:rPr>
      </w:sdtEndPr>
      <w:sdtContent>
        <w:r w:rsidR="005863E1" w:rsidRPr="002A7BAB">
          <w:rPr>
            <w:color w:val="005695"/>
            <w:sz w:val="18"/>
            <w:szCs w:val="18"/>
          </w:rPr>
          <w:t>Explanatory Note – Characterisation and modelling of Geological Fault Zones</w:t>
        </w:r>
        <w:r w:rsidR="005863E1" w:rsidRPr="006F4023">
          <w:rPr>
            <w:rStyle w:val="PageNumber"/>
            <w:sz w:val="18"/>
            <w:szCs w:val="18"/>
          </w:rPr>
          <w:tab/>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4396222"/>
      <w:docPartObj>
        <w:docPartGallery w:val="Page Numbers (Bottom of Page)"/>
        <w:docPartUnique/>
      </w:docPartObj>
    </w:sdtPr>
    <w:sdtEndPr>
      <w:rPr>
        <w:noProof/>
      </w:rPr>
    </w:sdtEndPr>
    <w:sdtContent>
      <w:p w14:paraId="06023F3C" w14:textId="0A09A42D" w:rsidR="005863E1" w:rsidRDefault="005863E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A642108" w14:textId="5FA94187" w:rsidR="005863E1" w:rsidRPr="006A1510" w:rsidRDefault="00245460" w:rsidP="000F472A">
    <w:pPr>
      <w:pStyle w:val="Footer"/>
      <w:tabs>
        <w:tab w:val="clear" w:pos="4513"/>
      </w:tabs>
      <w:ind w:right="360" w:firstLine="360"/>
      <w:rPr>
        <w:color w:val="005695"/>
        <w:sz w:val="18"/>
        <w:szCs w:val="18"/>
        <w:lang w:val="en-US"/>
      </w:rPr>
    </w:pPr>
    <w:sdt>
      <w:sdtPr>
        <w:rPr>
          <w:rStyle w:val="PageNumber"/>
          <w:sz w:val="18"/>
          <w:szCs w:val="18"/>
        </w:rPr>
        <w:id w:val="-787503128"/>
        <w:docPartObj>
          <w:docPartGallery w:val="Page Numbers (Bottom of Page)"/>
          <w:docPartUnique/>
        </w:docPartObj>
      </w:sdtPr>
      <w:sdtEndPr>
        <w:rPr>
          <w:rStyle w:val="PageNumber"/>
        </w:rPr>
      </w:sdtEndPr>
      <w:sdtContent>
        <w:r w:rsidR="005863E1" w:rsidRPr="002A7BAB">
          <w:rPr>
            <w:color w:val="005695"/>
            <w:sz w:val="18"/>
            <w:szCs w:val="18"/>
          </w:rPr>
          <w:t>Explanatory Note – Characterisation and modelling of Geological Fault Zones</w:t>
        </w:r>
        <w:r w:rsidR="005863E1" w:rsidRPr="006F4023">
          <w:rPr>
            <w:rStyle w:val="PageNumber"/>
            <w:sz w:val="18"/>
            <w:szCs w:val="18"/>
          </w:rPr>
          <w:tab/>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13F849" w14:textId="77777777" w:rsidR="00D433AC" w:rsidRDefault="00D433AC" w:rsidP="00B24EF6">
      <w:r>
        <w:separator/>
      </w:r>
    </w:p>
  </w:footnote>
  <w:footnote w:type="continuationSeparator" w:id="0">
    <w:p w14:paraId="362309EF" w14:textId="77777777" w:rsidR="00D433AC" w:rsidRDefault="00D433AC" w:rsidP="00B24EF6">
      <w:r>
        <w:continuationSeparator/>
      </w:r>
    </w:p>
  </w:footnote>
  <w:footnote w:type="continuationNotice" w:id="1">
    <w:p w14:paraId="48180262" w14:textId="77777777" w:rsidR="00D433AC" w:rsidRDefault="00D433A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168EA" w14:textId="6FDEC23E" w:rsidR="005863E1" w:rsidRDefault="00245460">
    <w:pPr>
      <w:pStyle w:val="Header"/>
    </w:pPr>
    <w:r>
      <w:rPr>
        <w:noProof/>
      </w:rPr>
      <w:pict w14:anchorId="7BC2811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200829" o:spid="_x0000_s2053" type="#_x0000_t136" style="position:absolute;margin-left:0;margin-top:0;width:402.75pt;height:183pt;rotation:315;z-index:-251641847;mso-position-horizontal:center;mso-position-horizontal-relative:margin;mso-position-vertical:center;mso-position-vertical-relative:margin" o:allowincell="f" fillcolor="silver" stroked="f">
          <v:fill opacity=".5"/>
          <v:textpath style="font-family:&quot;Calibri&quot;;font-size:150pt" string="DRAFT"/>
          <w10:wrap anchorx="margin" anchory="margin"/>
        </v:shape>
      </w:pict>
    </w:r>
    <w:r w:rsidR="005863E1">
      <w:rPr>
        <w:noProof/>
        <w:lang w:eastAsia="en-AU"/>
      </w:rPr>
      <w:drawing>
        <wp:anchor distT="0" distB="0" distL="114300" distR="114300" simplePos="0" relativeHeight="251658240" behindDoc="1" locked="0" layoutInCell="1" allowOverlap="1" wp14:anchorId="7455B81E" wp14:editId="17853A1B">
          <wp:simplePos x="0" y="0"/>
          <wp:positionH relativeFrom="page">
            <wp:align>center</wp:align>
          </wp:positionH>
          <wp:positionV relativeFrom="page">
            <wp:align>top</wp:align>
          </wp:positionV>
          <wp:extent cx="7551759" cy="10674000"/>
          <wp:effectExtent l="0" t="0" r="5080" b="0"/>
          <wp:wrapNone/>
          <wp:docPr id="5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4362D" w14:textId="19E60050" w:rsidR="005863E1" w:rsidRDefault="00245460">
    <w:pPr>
      <w:pStyle w:val="Header"/>
    </w:pPr>
    <w:r>
      <w:rPr>
        <w:noProof/>
      </w:rPr>
      <w:pict w14:anchorId="07D5388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200838" o:spid="_x0000_s2062" type="#_x0000_t136" style="position:absolute;margin-left:0;margin-top:0;width:402.75pt;height:183pt;rotation:315;z-index:-251623415;mso-position-horizontal:center;mso-position-horizontal-relative:margin;mso-position-vertical:center;mso-position-vertical-relative:margin" o:allowincell="f" fillcolor="silver" stroked="f">
          <v:fill opacity=".5"/>
          <v:textpath style="font-family:&quot;Calibri&quot;;font-size:150pt" string="DRAFT"/>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388C0" w14:textId="765419AC" w:rsidR="005863E1" w:rsidRDefault="00245460">
    <w:pPr>
      <w:pStyle w:val="Header"/>
    </w:pPr>
    <w:r>
      <w:rPr>
        <w:noProof/>
      </w:rPr>
      <w:pict w14:anchorId="566832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200839" o:spid="_x0000_s2063" type="#_x0000_t136" style="position:absolute;margin-left:0;margin-top:0;width:402.75pt;height:183pt;rotation:315;z-index:-251621367;mso-position-horizontal:center;mso-position-horizontal-relative:margin;mso-position-vertical:center;mso-position-vertical-relative:margin" o:allowincell="f" fillcolor="silver" stroked="f">
          <v:fill opacity=".5"/>
          <v:textpath style="font-family:&quot;Calibri&quot;;font-size:150pt" string="DRAF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DC23F9" w14:textId="1BDA9FA0" w:rsidR="005863E1" w:rsidRPr="00806503" w:rsidRDefault="00245460" w:rsidP="00B5604C">
    <w:r>
      <w:rPr>
        <w:noProof/>
      </w:rPr>
      <w:pict w14:anchorId="6DFA50E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200837" o:spid="_x0000_s2061" type="#_x0000_t136" style="position:absolute;margin-left:0;margin-top:0;width:402.75pt;height:183pt;rotation:315;z-index:-251625463;mso-position-horizontal:center;mso-position-horizontal-relative:margin;mso-position-vertical:center;mso-position-vertical-relative:margin" o:allowincell="f" fillcolor="silver" stroked="f">
          <v:fill opacity=".5"/>
          <v:textpath style="font-family:&quot;Calibri&quot;;font-size:150pt" string="DRAFT"/>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73F164" w14:textId="55D16BE6" w:rsidR="005863E1" w:rsidRDefault="00245460">
    <w:pPr>
      <w:pStyle w:val="Header"/>
    </w:pPr>
    <w:r>
      <w:rPr>
        <w:noProof/>
      </w:rPr>
      <w:pict w14:anchorId="456F31A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200841" o:spid="_x0000_s2065" type="#_x0000_t136" style="position:absolute;margin-left:0;margin-top:0;width:402.75pt;height:183pt;rotation:315;z-index:-251617271;mso-position-horizontal:center;mso-position-horizontal-relative:margin;mso-position-vertical:center;mso-position-vertical-relative:margin" o:allowincell="f" fillcolor="silver" stroked="f">
          <v:fill opacity=".5"/>
          <v:textpath style="font-family:&quot;Calibri&quot;;font-size:150pt" string="DRAFT"/>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ACCE1E" w14:textId="2FC74FC4" w:rsidR="005863E1" w:rsidRDefault="00245460">
    <w:pPr>
      <w:pStyle w:val="Header"/>
    </w:pPr>
    <w:r>
      <w:rPr>
        <w:noProof/>
      </w:rPr>
      <w:pict w14:anchorId="70CAD12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200842" o:spid="_x0000_s2066" type="#_x0000_t136" style="position:absolute;margin-left:0;margin-top:0;width:402.75pt;height:183pt;rotation:315;z-index:-251615223;mso-position-horizontal:center;mso-position-horizontal-relative:margin;mso-position-vertical:center;mso-position-vertical-relative:margin" o:allowincell="f" fillcolor="silver" stroked="f">
          <v:fill opacity=".5"/>
          <v:textpath style="font-family:&quot;Calibri&quot;;font-size:150pt" string="DRAFT"/>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D73B9" w14:textId="56F431BC" w:rsidR="005863E1" w:rsidRPr="00806503" w:rsidRDefault="00245460" w:rsidP="00B5604C">
    <w:r>
      <w:rPr>
        <w:noProof/>
      </w:rPr>
      <w:pict w14:anchorId="4F480B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200840" o:spid="_x0000_s2064" type="#_x0000_t136" style="position:absolute;margin-left:0;margin-top:0;width:402.75pt;height:183pt;rotation:315;z-index:-251619319;mso-position-horizontal:center;mso-position-horizontal-relative:margin;mso-position-vertical:center;mso-position-vertical-relative:margin" o:allowincell="f" fillcolor="silver" stroked="f">
          <v:fill opacity=".5"/>
          <v:textpath style="font-family:&quot;Calibri&quot;;font-size:150pt" string="DRAFT"/>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AFA84" w14:textId="0825BA47" w:rsidR="005863E1" w:rsidRDefault="00245460">
    <w:pPr>
      <w:pStyle w:val="Header"/>
    </w:pPr>
    <w:r>
      <w:rPr>
        <w:noProof/>
      </w:rPr>
      <w:pict w14:anchorId="77FB8B8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200844" o:spid="_x0000_s2068" type="#_x0000_t136" style="position:absolute;margin-left:0;margin-top:0;width:402.75pt;height:183pt;rotation:315;z-index:-251611127;mso-position-horizontal:center;mso-position-horizontal-relative:margin;mso-position-vertical:center;mso-position-vertical-relative:margin" o:allowincell="f" fillcolor="silver" stroked="f">
          <v:fill opacity=".5"/>
          <v:textpath style="font-family:&quot;Calibri&quot;;font-size:150pt" string="DRAFT"/>
          <w10:wrap anchorx="margin" anchory="margin"/>
        </v:shape>
      </w:pict>
    </w:r>
    <w:r w:rsidR="005863E1">
      <w:rPr>
        <w:noProof/>
        <w:lang w:eastAsia="en-AU"/>
      </w:rPr>
      <w:drawing>
        <wp:anchor distT="0" distB="0" distL="114300" distR="114300" simplePos="0" relativeHeight="251658249" behindDoc="1" locked="0" layoutInCell="1" allowOverlap="1" wp14:anchorId="47002829" wp14:editId="6C119365">
          <wp:simplePos x="0" y="0"/>
          <wp:positionH relativeFrom="page">
            <wp:align>center</wp:align>
          </wp:positionH>
          <wp:positionV relativeFrom="page">
            <wp:align>top</wp:align>
          </wp:positionV>
          <wp:extent cx="7551759" cy="10674000"/>
          <wp:effectExtent l="0" t="0" r="5080" b="0"/>
          <wp:wrapNone/>
          <wp:docPr id="2047755432" name="Picture 20477554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7AFBB" w14:textId="665C21B0" w:rsidR="005863E1" w:rsidRDefault="00245460">
    <w:pPr>
      <w:pStyle w:val="Header"/>
    </w:pPr>
    <w:r>
      <w:rPr>
        <w:noProof/>
      </w:rPr>
      <w:pict w14:anchorId="16CA34E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200845" o:spid="_x0000_s2069" type="#_x0000_t136" style="position:absolute;margin-left:0;margin-top:0;width:402.75pt;height:183pt;rotation:315;z-index:-251609079;mso-position-horizontal:center;mso-position-horizontal-relative:margin;mso-position-vertical:center;mso-position-vertical-relative:margin" o:allowincell="f" fillcolor="silver" stroked="f">
          <v:fill opacity=".5"/>
          <v:textpath style="font-family:&quot;Calibri&quot;;font-size:150pt" string="DRAFT"/>
          <w10:wrap anchorx="margin" anchory="margin"/>
        </v:shape>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95B9C" w14:textId="5C1B3AC1" w:rsidR="005863E1" w:rsidRDefault="00245460">
    <w:pPr>
      <w:pStyle w:val="Header"/>
    </w:pPr>
    <w:r>
      <w:rPr>
        <w:noProof/>
      </w:rPr>
      <w:pict w14:anchorId="4021648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200843" o:spid="_x0000_s2067" type="#_x0000_t136" style="position:absolute;margin-left:0;margin-top:0;width:402.75pt;height:183pt;rotation:315;z-index:-251613175;mso-position-horizontal:center;mso-position-horizontal-relative:margin;mso-position-vertical:center;mso-position-vertical-relative:margin" o:allowincell="f" fillcolor="silver" stroked="f">
          <v:fill opacity=".5"/>
          <v:textpath style="font-family:&quot;Calibri&quot;;font-size:150pt" string="DRAFT"/>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9E2CA" w14:textId="1EEF7C62" w:rsidR="005863E1" w:rsidRDefault="00245460">
    <w:pPr>
      <w:pStyle w:val="Header"/>
    </w:pPr>
    <w:r>
      <w:rPr>
        <w:noProof/>
      </w:rPr>
      <w:pict w14:anchorId="30FE181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200847" o:spid="_x0000_s2071" type="#_x0000_t136" style="position:absolute;margin-left:0;margin-top:0;width:402.75pt;height:183pt;rotation:315;z-index:-251604983;mso-position-horizontal:center;mso-position-horizontal-relative:margin;mso-position-vertical:center;mso-position-vertical-relative:margin" o:allowincell="f" fillcolor="silver" stroked="f">
          <v:fill opacity=".5"/>
          <v:textpath style="font-family:&quot;Calibri&quot;;font-size:150pt" string="DRAFT"/>
          <w10:wrap anchorx="margin" anchory="margin"/>
        </v:shape>
      </w:pict>
    </w:r>
    <w:r w:rsidR="005863E1">
      <w:rPr>
        <w:noProof/>
        <w:lang w:eastAsia="en-AU"/>
      </w:rPr>
      <w:drawing>
        <wp:anchor distT="0" distB="0" distL="114300" distR="114300" simplePos="0" relativeHeight="251660297" behindDoc="1" locked="0" layoutInCell="1" allowOverlap="1" wp14:anchorId="57C52F53" wp14:editId="42B56E00">
          <wp:simplePos x="0" y="0"/>
          <wp:positionH relativeFrom="page">
            <wp:align>center</wp:align>
          </wp:positionH>
          <wp:positionV relativeFrom="page">
            <wp:align>top</wp:align>
          </wp:positionV>
          <wp:extent cx="7551759" cy="10674000"/>
          <wp:effectExtent l="0" t="0" r="5080" b="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0CAF79" w14:textId="7815CB99" w:rsidR="005863E1" w:rsidRDefault="00245460">
    <w:pPr>
      <w:pStyle w:val="Header"/>
    </w:pPr>
    <w:r>
      <w:rPr>
        <w:noProof/>
      </w:rPr>
      <w:pict w14:anchorId="654DE3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200830" o:spid="_x0000_s2054" type="#_x0000_t136" style="position:absolute;margin-left:0;margin-top:0;width:402.75pt;height:183pt;rotation:315;z-index:-251639799;mso-position-horizontal:center;mso-position-horizontal-relative:margin;mso-position-vertical:center;mso-position-vertical-relative:margin" o:allowincell="f" fillcolor="silver" stroked="f">
          <v:fill opacity=".5"/>
          <v:textpath style="font-family:&quot;Calibri&quot;;font-size:150pt" string="DRAFT"/>
          <w10:wrap anchorx="margin" anchory="margin"/>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53AC2" w14:textId="47112732" w:rsidR="005863E1" w:rsidRDefault="00245460">
    <w:pPr>
      <w:pStyle w:val="Header"/>
    </w:pPr>
    <w:r>
      <w:rPr>
        <w:noProof/>
      </w:rPr>
      <w:pict w14:anchorId="56243BA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200848" o:spid="_x0000_s2072" type="#_x0000_t136" style="position:absolute;margin-left:0;margin-top:0;width:402.75pt;height:183pt;rotation:315;z-index:-251602935;mso-position-horizontal:center;mso-position-horizontal-relative:margin;mso-position-vertical:center;mso-position-vertical-relative:margin" o:allowincell="f" fillcolor="silver" stroked="f">
          <v:fill opacity=".5"/>
          <v:textpath style="font-family:&quot;Calibri&quot;;font-size:150pt" string="DRAFT"/>
          <w10:wrap anchorx="margin" anchory="margin"/>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8F01ED" w14:textId="358D9969" w:rsidR="005863E1" w:rsidRDefault="00245460">
    <w:pPr>
      <w:pStyle w:val="Header"/>
    </w:pPr>
    <w:r>
      <w:rPr>
        <w:noProof/>
      </w:rPr>
      <w:pict w14:anchorId="48E9347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200846" o:spid="_x0000_s2070" type="#_x0000_t136" style="position:absolute;margin-left:0;margin-top:0;width:402.75pt;height:183pt;rotation:315;z-index:-251607031;mso-position-horizontal:center;mso-position-horizontal-relative:margin;mso-position-vertical:center;mso-position-vertical-relative:margin" o:allowincell="f" fillcolor="silver" stroked="f">
          <v:fill opacity=".5"/>
          <v:textpath style="font-family:&quot;Calibri&quot;;font-size:150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5F9C8D" w14:textId="77175CE2" w:rsidR="005863E1" w:rsidRPr="00C95CD1" w:rsidRDefault="005863E1">
    <w:pPr>
      <w:pStyle w:val="Header"/>
      <w:rPr>
        <w:b/>
        <w:noProof/>
        <w:sz w:val="24"/>
        <w:szCs w:val="24"/>
        <w:lang w:eastAsia="en-AU"/>
      </w:rPr>
    </w:pPr>
    <w:r w:rsidRPr="00C95CD1">
      <w:rPr>
        <w:b/>
        <w:noProof/>
        <w:sz w:val="24"/>
        <w:szCs w:val="24"/>
        <w:lang w:eastAsia="en-AU"/>
      </w:rPr>
      <mc:AlternateContent>
        <mc:Choice Requires="wps">
          <w:drawing>
            <wp:anchor distT="45720" distB="45720" distL="114300" distR="114300" simplePos="0" relativeHeight="251667465" behindDoc="0" locked="0" layoutInCell="1" allowOverlap="1" wp14:anchorId="1117B9AB" wp14:editId="1C476186">
              <wp:simplePos x="0" y="0"/>
              <wp:positionH relativeFrom="margin">
                <wp:align>center</wp:align>
              </wp:positionH>
              <wp:positionV relativeFrom="paragraph">
                <wp:posOffset>413385</wp:posOffset>
              </wp:positionV>
              <wp:extent cx="4114800" cy="228600"/>
              <wp:effectExtent l="0" t="0" r="0" b="0"/>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228600"/>
                      </a:xfrm>
                      <a:prstGeom prst="rect">
                        <a:avLst/>
                      </a:prstGeom>
                      <a:solidFill>
                        <a:srgbClr val="FFFFFF"/>
                      </a:solidFill>
                      <a:ln w="9525">
                        <a:noFill/>
                        <a:miter lim="800000"/>
                        <a:headEnd/>
                        <a:tailEnd/>
                      </a:ln>
                    </wps:spPr>
                    <wps:txbx>
                      <w:txbxContent>
                        <w:p w14:paraId="60EE8A33" w14:textId="41B194D3" w:rsidR="005863E1" w:rsidRPr="00FA2CF7" w:rsidRDefault="005863E1" w:rsidP="00684EF2">
                          <w:pPr>
                            <w:jc w:val="center"/>
                            <w:rPr>
                              <w:rFonts w:asciiTheme="majorHAnsi" w:hAnsiTheme="majorHAnsi"/>
                              <w:b/>
                              <w:color w:val="FF0000"/>
                              <w:lang w:val="en-US"/>
                            </w:rPr>
                          </w:pPr>
                          <w:bookmarkStart w:id="0" w:name="_Hlk69902262"/>
                          <w:r>
                            <w:rPr>
                              <w:rFonts w:asciiTheme="majorHAnsi" w:hAnsiTheme="majorHAnsi"/>
                              <w:b/>
                              <w:color w:val="FF0000"/>
                              <w:lang w:val="en-US"/>
                            </w:rPr>
                            <w:t xml:space="preserve">CONSULTATION DRAFT </w:t>
                          </w:r>
                          <w:bookmarkEnd w:id="0"/>
                          <w:r>
                            <w:rPr>
                              <w:rFonts w:asciiTheme="majorHAnsi" w:hAnsiTheme="majorHAnsi"/>
                              <w:b/>
                              <w:color w:val="FF0000"/>
                              <w:lang w:val="en-US"/>
                            </w:rPr>
                            <w:t xml:space="preserve">– NOT FOR OFFICAL USE </w:t>
                          </w:r>
                          <w:proofErr w:type="spellStart"/>
                          <w:r>
                            <w:rPr>
                              <w:rFonts w:asciiTheme="majorHAnsi" w:hAnsiTheme="majorHAnsi"/>
                              <w:b/>
                              <w:color w:val="FF0000"/>
                              <w:lang w:val="en-US"/>
                            </w:rPr>
                            <w:t>USE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17B9AB" id="_x0000_t202" coordsize="21600,21600" o:spt="202" path="m,l,21600r21600,l21600,xe">
              <v:stroke joinstyle="miter"/>
              <v:path gradientshapeok="t" o:connecttype="rect"/>
            </v:shapetype>
            <v:shape id="Text Box 2" o:spid="_x0000_s1323" type="#_x0000_t202" style="position:absolute;margin-left:0;margin-top:32.55pt;width:324pt;height:18pt;z-index:251667465;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" stroked="f">
              <v:textbox>
                <w:txbxContent>
                  <w:p w14:paraId="60EE8A33" w14:textId="41B194D3" w:rsidR="005863E1" w:rsidRPr="00FA2CF7" w:rsidRDefault="005863E1" w:rsidP="00684EF2">
                    <w:pPr>
                      <w:jc w:val="center"/>
                      <w:rPr>
                        <w:rFonts w:asciiTheme="majorHAnsi" w:hAnsiTheme="majorHAnsi"/>
                        <w:b/>
                        <w:color w:val="FF0000"/>
                        <w:lang w:val="en-US"/>
                      </w:rPr>
                    </w:pPr>
                    <w:bookmarkStart w:id="1" w:name="_Hlk69902262"/>
                    <w:r>
                      <w:rPr>
                        <w:rFonts w:asciiTheme="majorHAnsi" w:hAnsiTheme="majorHAnsi"/>
                        <w:b/>
                        <w:color w:val="FF0000"/>
                        <w:lang w:val="en-US"/>
                      </w:rPr>
                      <w:t xml:space="preserve">CONSULTATION DRAFT </w:t>
                    </w:r>
                    <w:bookmarkEnd w:id="1"/>
                    <w:r>
                      <w:rPr>
                        <w:rFonts w:asciiTheme="majorHAnsi" w:hAnsiTheme="majorHAnsi"/>
                        <w:b/>
                        <w:color w:val="FF0000"/>
                        <w:lang w:val="en-US"/>
                      </w:rPr>
                      <w:t xml:space="preserve">– NOT FOR OFFICAL USE </w:t>
                    </w:r>
                    <w:proofErr w:type="spellStart"/>
                    <w:r>
                      <w:rPr>
                        <w:rFonts w:asciiTheme="majorHAnsi" w:hAnsiTheme="majorHAnsi"/>
                        <w:b/>
                        <w:color w:val="FF0000"/>
                        <w:lang w:val="en-US"/>
                      </w:rPr>
                      <w:t>USE</w:t>
                    </w:r>
                    <w:proofErr w:type="spellEnd"/>
                  </w:p>
                </w:txbxContent>
              </v:textbox>
              <w10:wrap type="square" anchorx="margin"/>
            </v:shape>
          </w:pict>
        </mc:Fallback>
      </mc:AlternateContent>
    </w:r>
    <w:r w:rsidR="00245460">
      <w:rPr>
        <w:noProof/>
        <w:sz w:val="24"/>
        <w:szCs w:val="24"/>
      </w:rPr>
      <w:pict w14:anchorId="04D4DA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200828" o:spid="_x0000_s2052" type="#_x0000_t136" style="position:absolute;margin-left:0;margin-top:0;width:402.75pt;height:183pt;rotation:315;z-index:-251643895;mso-position-horizontal:center;mso-position-horizontal-relative:margin;mso-position-vertical:center;mso-position-vertical-relative:margin" o:allowincell="f" fillcolor="silver" stroked="f">
          <v:fill opacity=".5"/>
          <v:textpath style="font-family:&quot;Calibri&quot;;font-size:150pt" string="DRAFT"/>
          <w10:wrap anchorx="margin" anchory="margin"/>
        </v:shape>
      </w:pict>
    </w:r>
    <w:r w:rsidRPr="00C95CD1">
      <w:rPr>
        <w:rFonts w:ascii="Arial" w:hAnsi="Arial" w:cs="Arial"/>
        <w:b/>
        <w:sz w:val="24"/>
        <w:szCs w:val="24"/>
      </w:rPr>
      <w:t>Consultation on Characterisation and modelling of geological fault zones: IESC Information Guidelines Explanatory Note</w:t>
    </w:r>
    <w:r w:rsidRPr="00C95CD1">
      <w:rPr>
        <w:b/>
        <w:noProof/>
        <w:sz w:val="24"/>
        <w:szCs w:val="24"/>
        <w:lang w:eastAsia="en-AU"/>
      </w:rPr>
      <w:t xml:space="preserve"> </w:t>
    </w:r>
    <w:r w:rsidRPr="00C95CD1">
      <w:rPr>
        <w:rFonts w:ascii="Arial" w:hAnsi="Arial" w:cs="Arial"/>
        <w:noProof/>
        <w:sz w:val="24"/>
        <w:szCs w:val="24"/>
        <w:lang w:eastAsia="en-AU"/>
      </w:rPr>
      <w:drawing>
        <wp:anchor distT="0" distB="0" distL="114300" distR="114300" simplePos="0" relativeHeight="251665417" behindDoc="0" locked="0" layoutInCell="1" allowOverlap="1" wp14:anchorId="27404553" wp14:editId="5C0AB06E">
          <wp:simplePos x="0" y="0"/>
          <wp:positionH relativeFrom="page">
            <wp:align>left</wp:align>
          </wp:positionH>
          <wp:positionV relativeFrom="paragraph">
            <wp:posOffset>-724535</wp:posOffset>
          </wp:positionV>
          <wp:extent cx="7724775" cy="2000250"/>
          <wp:effectExtent l="0" t="0" r="9525" b="0"/>
          <wp:wrapSquare wrapText="bothSides"/>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
                    <a:extLst>
                      <a:ext uri="{28A0092B-C50C-407E-A947-70E740481C1C}">
                        <a14:useLocalDpi xmlns:a14="http://schemas.microsoft.com/office/drawing/2010/main" val="0"/>
                      </a:ext>
                    </a:extLst>
                  </a:blip>
                  <a:srcRect t="8627" b="9021"/>
                  <a:stretch/>
                </pic:blipFill>
                <pic:spPr bwMode="auto">
                  <a:xfrm>
                    <a:off x="0" y="0"/>
                    <a:ext cx="7724775" cy="20002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8385D" w14:textId="2B8FCA9D" w:rsidR="005863E1" w:rsidRDefault="00245460">
    <w:pPr>
      <w:pStyle w:val="Header"/>
    </w:pPr>
    <w:r>
      <w:rPr>
        <w:noProof/>
      </w:rPr>
      <w:pict w14:anchorId="58756A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200832" o:spid="_x0000_s2056" type="#_x0000_t136" style="position:absolute;margin-left:0;margin-top:0;width:402.75pt;height:183pt;rotation:315;z-index:-251635703;mso-position-horizontal:center;mso-position-horizontal-relative:margin;mso-position-vertical:center;mso-position-vertical-relative:margin" o:allowincell="f" fillcolor="silver" stroked="f">
          <v:fill opacity=".5"/>
          <v:textpath style="font-family:&quot;Calibri&quot;;font-size:150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EEFAB" w14:textId="578247B0" w:rsidR="005863E1" w:rsidRDefault="00245460">
    <w:pPr>
      <w:pStyle w:val="Header"/>
    </w:pPr>
    <w:r>
      <w:rPr>
        <w:noProof/>
      </w:rPr>
      <w:pict w14:anchorId="5519BD5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200833" o:spid="_x0000_s2057" type="#_x0000_t136" style="position:absolute;margin-left:0;margin-top:0;width:402.75pt;height:183pt;rotation:315;z-index:-251633655;mso-position-horizontal:center;mso-position-horizontal-relative:margin;mso-position-vertical:center;mso-position-vertical-relative:margin" o:allowincell="f" fillcolor="silver" stroked="f">
          <v:fill opacity=".5"/>
          <v:textpath style="font-family:&quot;Calibri&quot;;font-size:150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E39B65" w14:textId="1889AB57" w:rsidR="005863E1" w:rsidRDefault="00245460">
    <w:pPr>
      <w:pStyle w:val="Header"/>
    </w:pPr>
    <w:r>
      <w:rPr>
        <w:noProof/>
      </w:rPr>
      <w:pict w14:anchorId="73DA4B5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200831" o:spid="_x0000_s2055" type="#_x0000_t136" style="position:absolute;margin-left:0;margin-top:0;width:402.75pt;height:183pt;rotation:315;z-index:-251637751;mso-position-horizontal:center;mso-position-horizontal-relative:margin;mso-position-vertical:center;mso-position-vertical-relative:margin" o:allowincell="f" fillcolor="silver" stroked="f">
          <v:fill opacity=".5"/>
          <v:textpath style="font-family:&quot;Calibri&quot;;font-size:150pt" string="DRAFT"/>
          <w10:wrap anchorx="margin" anchory="margin"/>
        </v:shape>
      </w:pict>
    </w:r>
    <w:r w:rsidR="005863E1">
      <w:rPr>
        <w:noProof/>
        <w:lang w:eastAsia="en-AU"/>
      </w:rPr>
      <w:drawing>
        <wp:anchor distT="0" distB="0" distL="114300" distR="114300" simplePos="0" relativeHeight="251670537" behindDoc="1" locked="0" layoutInCell="1" allowOverlap="1" wp14:anchorId="47CD5160" wp14:editId="2AB7A7FE">
          <wp:simplePos x="0" y="0"/>
          <wp:positionH relativeFrom="page">
            <wp:align>center</wp:align>
          </wp:positionH>
          <wp:positionV relativeFrom="page">
            <wp:align>center</wp:align>
          </wp:positionV>
          <wp:extent cx="7552800" cy="10674000"/>
          <wp:effectExtent l="0" t="0" r="3810" b="0"/>
          <wp:wrapNone/>
          <wp:docPr id="57" name="Picture 57" descr="Logo of the Independent Expert Scientific Committee on Coal Seam Gas and Large Coal Mining Development (IE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PORT_COVER.png"/>
                  <pic:cNvPicPr/>
                </pic:nvPicPr>
                <pic:blipFill>
                  <a:blip r:embed="rId1">
                    <a:extLst>
                      <a:ext uri="{28A0092B-C50C-407E-A947-70E740481C1C}">
                        <a14:useLocalDpi xmlns:a14="http://schemas.microsoft.com/office/drawing/2010/main" val="0"/>
                      </a:ext>
                    </a:extLst>
                  </a:blip>
                  <a:stretch>
                    <a:fillRect/>
                  </a:stretch>
                </pic:blipFill>
                <pic:spPr>
                  <a:xfrm>
                    <a:off x="0" y="0"/>
                    <a:ext cx="7552800" cy="10674000"/>
                  </a:xfrm>
                  <a:prstGeom prst="rect">
                    <a:avLst/>
                  </a:prstGeom>
                </pic:spPr>
              </pic:pic>
            </a:graphicData>
          </a:graphic>
          <wp14:sizeRelH relativeFrom="margin">
            <wp14:pctWidth>0</wp14:pctWidth>
          </wp14:sizeRelH>
          <wp14:sizeRelV relativeFrom="margin">
            <wp14:pctHeight>0</wp14:pctHeight>
          </wp14:sizeRelV>
        </wp:anchor>
      </w:drawing>
    </w:r>
    <w:r w:rsidR="005863E1">
      <w:rPr>
        <w:noProof/>
        <w:lang w:eastAsia="en-AU"/>
      </w:rPr>
      <w:drawing>
        <wp:anchor distT="0" distB="0" distL="114300" distR="114300" simplePos="0" relativeHeight="251669513" behindDoc="1" locked="0" layoutInCell="1" allowOverlap="1" wp14:anchorId="62B48620" wp14:editId="428A6513">
          <wp:simplePos x="0" y="0"/>
          <wp:positionH relativeFrom="page">
            <wp:posOffset>-95250</wp:posOffset>
          </wp:positionH>
          <wp:positionV relativeFrom="page">
            <wp:posOffset>4123266</wp:posOffset>
          </wp:positionV>
          <wp:extent cx="7747200" cy="5810400"/>
          <wp:effectExtent l="0" t="0" r="0" b="6350"/>
          <wp:wrapNone/>
          <wp:docPr id="58" name="Picture 58" descr="Reflections on the lake at the Hunter Wetlands Centre (Shortlands We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1 Front cover.jpg"/>
                  <pic:cNvPicPr/>
                </pic:nvPicPr>
                <pic:blipFill>
                  <a:blip r:embed="rId2">
                    <a:extLst>
                      <a:ext uri="{28A0092B-C50C-407E-A947-70E740481C1C}">
                        <a14:useLocalDpi xmlns:a14="http://schemas.microsoft.com/office/drawing/2010/main" val="0"/>
                      </a:ext>
                    </a:extLst>
                  </a:blip>
                  <a:stretch>
                    <a:fillRect/>
                  </a:stretch>
                </pic:blipFill>
                <pic:spPr>
                  <a:xfrm>
                    <a:off x="0" y="0"/>
                    <a:ext cx="7747200" cy="5810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878439" w14:textId="5851C1FB" w:rsidR="005863E1" w:rsidRDefault="00245460">
    <w:pPr>
      <w:pStyle w:val="Header"/>
    </w:pPr>
    <w:r>
      <w:rPr>
        <w:noProof/>
      </w:rPr>
      <w:pict w14:anchorId="0DD5A61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200835" o:spid="_x0000_s2059" type="#_x0000_t136" style="position:absolute;margin-left:0;margin-top:0;width:402.75pt;height:183pt;rotation:315;z-index:-251629559;mso-position-horizontal:center;mso-position-horizontal-relative:margin;mso-position-vertical:center;mso-position-vertical-relative:margin" o:allowincell="f" fillcolor="silver" stroked="f">
          <v:fill opacity=".5"/>
          <v:textpath style="font-family:&quot;Calibri&quot;;font-size:150pt" string="DRAFT"/>
          <w10:wrap anchorx="margin" anchory="margin"/>
        </v:shape>
      </w:pict>
    </w:r>
    <w:r w:rsidR="005863E1">
      <w:rPr>
        <w:noProof/>
        <w:lang w:eastAsia="en-AU"/>
      </w:rPr>
      <w:drawing>
        <wp:anchor distT="0" distB="0" distL="114300" distR="114300" simplePos="0" relativeHeight="251658247" behindDoc="1" locked="0" layoutInCell="1" allowOverlap="1" wp14:anchorId="15DD71D2" wp14:editId="6B643E3B">
          <wp:simplePos x="0" y="0"/>
          <wp:positionH relativeFrom="page">
            <wp:align>center</wp:align>
          </wp:positionH>
          <wp:positionV relativeFrom="page">
            <wp:align>top</wp:align>
          </wp:positionV>
          <wp:extent cx="7551759" cy="10674000"/>
          <wp:effectExtent l="0" t="0" r="5080" b="0"/>
          <wp:wrapNone/>
          <wp:docPr id="2047755425" name="Picture 20477554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ER.jpg"/>
                  <pic:cNvPicPr/>
                </pic:nvPicPr>
                <pic:blipFill>
                  <a:blip r:embed="rId1">
                    <a:extLst>
                      <a:ext uri="{28A0092B-C50C-407E-A947-70E740481C1C}">
                        <a14:useLocalDpi xmlns:a14="http://schemas.microsoft.com/office/drawing/2010/main" val="0"/>
                      </a:ext>
                    </a:extLst>
                  </a:blip>
                  <a:stretch>
                    <a:fillRect/>
                  </a:stretch>
                </pic:blipFill>
                <pic:spPr>
                  <a:xfrm>
                    <a:off x="0" y="0"/>
                    <a:ext cx="7551759" cy="10674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BF4E5C" w14:textId="40932469" w:rsidR="005863E1" w:rsidRPr="00806503" w:rsidRDefault="00245460" w:rsidP="00B5604C">
    <w:pPr>
      <w:tabs>
        <w:tab w:val="left" w:pos="5895"/>
      </w:tabs>
    </w:pPr>
    <w:r>
      <w:rPr>
        <w:noProof/>
      </w:rPr>
      <w:pict w14:anchorId="13BAEFA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200836" o:spid="_x0000_s2060" type="#_x0000_t136" style="position:absolute;margin-left:0;margin-top:0;width:402.75pt;height:183pt;rotation:315;z-index:-251627511;mso-position-horizontal:center;mso-position-horizontal-relative:margin;mso-position-vertical:center;mso-position-vertical-relative:margin" o:allowincell="f" fillcolor="silver" stroked="f">
          <v:fill opacity=".5"/>
          <v:textpath style="font-family:&quot;Calibri&quot;;font-size:150pt" string="DRAFT"/>
          <w10:wrap anchorx="margin" anchory="margin"/>
        </v:shape>
      </w:pict>
    </w:r>
    <w:r w:rsidR="005863E1">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2A63FF" w14:textId="397D80E5" w:rsidR="005863E1" w:rsidRPr="00806503" w:rsidRDefault="00245460" w:rsidP="00B5604C">
    <w:r>
      <w:rPr>
        <w:noProof/>
      </w:rPr>
      <w:pict w14:anchorId="36ECE79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200834" o:spid="_x0000_s2058" type="#_x0000_t136" style="position:absolute;margin-left:0;margin-top:0;width:402.75pt;height:183pt;rotation:315;z-index:-251631607;mso-position-horizontal:center;mso-position-horizontal-relative:margin;mso-position-vertical:center;mso-position-vertical-relative:margin" o:allowincell="f" fillcolor="silver" stroked="f">
          <v:fill opacity=".5"/>
          <v:textpath style="font-family:&quot;Calibri&quot;;font-size:150pt" string="DRAFT"/>
          <w10:wrap anchorx="margin" anchory="margin"/>
        </v:shape>
      </w:pict>
    </w:r>
    <w:r w:rsidR="005863E1" w:rsidRPr="00BD1B04">
      <w:rPr>
        <w:noProof/>
        <w:lang w:eastAsia="en-AU"/>
      </w:rPr>
      <w:drawing>
        <wp:anchor distT="0" distB="0" distL="114300" distR="114300" simplePos="0" relativeHeight="251658244" behindDoc="1" locked="1" layoutInCell="1" allowOverlap="1" wp14:anchorId="25CD362E" wp14:editId="4CA43669">
          <wp:simplePos x="0" y="0"/>
          <wp:positionH relativeFrom="page">
            <wp:align>center</wp:align>
          </wp:positionH>
          <wp:positionV relativeFrom="page">
            <wp:align>center</wp:align>
          </wp:positionV>
          <wp:extent cx="7559040" cy="10684510"/>
          <wp:effectExtent l="0" t="0" r="0" b="0"/>
          <wp:wrapNone/>
          <wp:docPr id="2047755428" name="Picture 20477554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port-Page-1-Gradient.png"/>
                  <pic:cNvPicPr/>
                </pic:nvPicPr>
                <pic:blipFill>
                  <a:blip r:embed="rId1">
                    <a:extLst>
                      <a:ext uri="{28A0092B-C50C-407E-A947-70E740481C1C}">
                        <a14:useLocalDpi xmlns:a14="http://schemas.microsoft.com/office/drawing/2010/main" val="0"/>
                      </a:ext>
                    </a:extLst>
                  </a:blip>
                  <a:stretch>
                    <a:fillRect/>
                  </a:stretch>
                </pic:blipFill>
                <pic:spPr>
                  <a:xfrm>
                    <a:off x="0" y="0"/>
                    <a:ext cx="75594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D229A28"/>
    <w:lvl w:ilvl="0">
      <w:numFmt w:val="bullet"/>
      <w:lvlText w:val="*"/>
      <w:lvlJc w:val="left"/>
    </w:lvl>
  </w:abstractNum>
  <w:abstractNum w:abstractNumId="1" w15:restartNumberingAfterBreak="0">
    <w:nsid w:val="004516D2"/>
    <w:multiLevelType w:val="hybridMultilevel"/>
    <w:tmpl w:val="3FA4D3C0"/>
    <w:lvl w:ilvl="0" w:tplc="14090013">
      <w:start w:val="1"/>
      <w:numFmt w:val="upperRoman"/>
      <w:lvlText w:val="%1."/>
      <w:lvlJc w:val="right"/>
      <w:pPr>
        <w:ind w:left="720" w:hanging="360"/>
      </w:p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 w15:restartNumberingAfterBreak="0">
    <w:nsid w:val="030F72CA"/>
    <w:multiLevelType w:val="hybridMultilevel"/>
    <w:tmpl w:val="113219D8"/>
    <w:lvl w:ilvl="0" w:tplc="14090013">
      <w:start w:val="1"/>
      <w:numFmt w:val="upperRoman"/>
      <w:lvlText w:val="%1."/>
      <w:lvlJc w:val="right"/>
      <w:pPr>
        <w:ind w:left="720" w:hanging="360"/>
      </w:pPr>
    </w:lvl>
    <w:lvl w:ilvl="1" w:tplc="14090013">
      <w:start w:val="1"/>
      <w:numFmt w:val="upperRoman"/>
      <w:lvlText w:val="%2."/>
      <w:lvlJc w:val="righ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 w15:restartNumberingAfterBreak="0">
    <w:nsid w:val="04C952FC"/>
    <w:multiLevelType w:val="hybridMultilevel"/>
    <w:tmpl w:val="C562FA8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05000CBF"/>
    <w:multiLevelType w:val="hybridMultilevel"/>
    <w:tmpl w:val="6E4E076A"/>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 w15:restartNumberingAfterBreak="0">
    <w:nsid w:val="09011FD6"/>
    <w:multiLevelType w:val="hybridMultilevel"/>
    <w:tmpl w:val="0C5A3B2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 w15:restartNumberingAfterBreak="0">
    <w:nsid w:val="0A2F6B80"/>
    <w:multiLevelType w:val="multilevel"/>
    <w:tmpl w:val="73283DF8"/>
    <w:styleLink w:val="Numberedlist"/>
    <w:lvl w:ilvl="0">
      <w:start w:val="1"/>
      <w:numFmt w:val="decimal"/>
      <w:pStyle w:val="NumberedList1"/>
      <w:lvlText w:val="%1."/>
      <w:lvlJc w:val="left"/>
      <w:pPr>
        <w:ind w:left="284" w:hanging="284"/>
      </w:pPr>
      <w:rPr>
        <w:rFonts w:hint="default"/>
      </w:rPr>
    </w:lvl>
    <w:lvl w:ilvl="1">
      <w:start w:val="1"/>
      <w:numFmt w:val="lowerLetter"/>
      <w:pStyle w:val="NumberedList2"/>
      <w:lvlText w:val="%2."/>
      <w:lvlJc w:val="left"/>
      <w:pPr>
        <w:ind w:left="568" w:hanging="284"/>
      </w:pPr>
      <w:rPr>
        <w:rFonts w:hint="default"/>
      </w:rPr>
    </w:lvl>
    <w:lvl w:ilvl="2">
      <w:start w:val="1"/>
      <w:numFmt w:val="lowerRoman"/>
      <w:pStyle w:val="NumberedList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7" w15:restartNumberingAfterBreak="0">
    <w:nsid w:val="0B086DAD"/>
    <w:multiLevelType w:val="hybridMultilevel"/>
    <w:tmpl w:val="8B14E706"/>
    <w:lvl w:ilvl="0" w:tplc="14090001">
      <w:start w:val="1"/>
      <w:numFmt w:val="bullet"/>
      <w:lvlText w:val=""/>
      <w:lvlJc w:val="left"/>
      <w:pPr>
        <w:ind w:left="1440" w:hanging="360"/>
      </w:pPr>
      <w:rPr>
        <w:rFonts w:ascii="Symbol" w:hAnsi="Symbol" w:hint="default"/>
      </w:rPr>
    </w:lvl>
    <w:lvl w:ilvl="1" w:tplc="14090003">
      <w:start w:val="1"/>
      <w:numFmt w:val="bullet"/>
      <w:lvlText w:val="o"/>
      <w:lvlJc w:val="left"/>
      <w:pPr>
        <w:ind w:left="2160" w:hanging="360"/>
      </w:pPr>
      <w:rPr>
        <w:rFonts w:ascii="Courier New" w:hAnsi="Courier New" w:cs="Courier New" w:hint="default"/>
      </w:rPr>
    </w:lvl>
    <w:lvl w:ilvl="2" w:tplc="14090005">
      <w:start w:val="1"/>
      <w:numFmt w:val="bullet"/>
      <w:lvlText w:val=""/>
      <w:lvlJc w:val="left"/>
      <w:pPr>
        <w:ind w:left="2880" w:hanging="360"/>
      </w:pPr>
      <w:rPr>
        <w:rFonts w:ascii="Wingdings" w:hAnsi="Wingdings" w:hint="default"/>
      </w:rPr>
    </w:lvl>
    <w:lvl w:ilvl="3" w:tplc="14090001">
      <w:start w:val="1"/>
      <w:numFmt w:val="bullet"/>
      <w:lvlText w:val=""/>
      <w:lvlJc w:val="left"/>
      <w:pPr>
        <w:ind w:left="3600" w:hanging="360"/>
      </w:pPr>
      <w:rPr>
        <w:rFonts w:ascii="Symbol" w:hAnsi="Symbol" w:hint="default"/>
      </w:rPr>
    </w:lvl>
    <w:lvl w:ilvl="4" w:tplc="14090003">
      <w:start w:val="1"/>
      <w:numFmt w:val="bullet"/>
      <w:lvlText w:val="o"/>
      <w:lvlJc w:val="left"/>
      <w:pPr>
        <w:ind w:left="4320" w:hanging="360"/>
      </w:pPr>
      <w:rPr>
        <w:rFonts w:ascii="Courier New" w:hAnsi="Courier New" w:cs="Courier New" w:hint="default"/>
      </w:rPr>
    </w:lvl>
    <w:lvl w:ilvl="5" w:tplc="14090005">
      <w:start w:val="1"/>
      <w:numFmt w:val="bullet"/>
      <w:lvlText w:val=""/>
      <w:lvlJc w:val="left"/>
      <w:pPr>
        <w:ind w:left="5040" w:hanging="360"/>
      </w:pPr>
      <w:rPr>
        <w:rFonts w:ascii="Wingdings" w:hAnsi="Wingdings" w:hint="default"/>
      </w:rPr>
    </w:lvl>
    <w:lvl w:ilvl="6" w:tplc="14090001">
      <w:start w:val="1"/>
      <w:numFmt w:val="bullet"/>
      <w:lvlText w:val=""/>
      <w:lvlJc w:val="left"/>
      <w:pPr>
        <w:ind w:left="5760" w:hanging="360"/>
      </w:pPr>
      <w:rPr>
        <w:rFonts w:ascii="Symbol" w:hAnsi="Symbol" w:hint="default"/>
      </w:rPr>
    </w:lvl>
    <w:lvl w:ilvl="7" w:tplc="14090003">
      <w:start w:val="1"/>
      <w:numFmt w:val="bullet"/>
      <w:lvlText w:val="o"/>
      <w:lvlJc w:val="left"/>
      <w:pPr>
        <w:ind w:left="6480" w:hanging="360"/>
      </w:pPr>
      <w:rPr>
        <w:rFonts w:ascii="Courier New" w:hAnsi="Courier New" w:cs="Courier New" w:hint="default"/>
      </w:rPr>
    </w:lvl>
    <w:lvl w:ilvl="8" w:tplc="14090005">
      <w:start w:val="1"/>
      <w:numFmt w:val="bullet"/>
      <w:lvlText w:val=""/>
      <w:lvlJc w:val="left"/>
      <w:pPr>
        <w:ind w:left="7200" w:hanging="360"/>
      </w:pPr>
      <w:rPr>
        <w:rFonts w:ascii="Wingdings" w:hAnsi="Wingdings" w:hint="default"/>
      </w:rPr>
    </w:lvl>
  </w:abstractNum>
  <w:abstractNum w:abstractNumId="8" w15:restartNumberingAfterBreak="0">
    <w:nsid w:val="101E7841"/>
    <w:multiLevelType w:val="hybridMultilevel"/>
    <w:tmpl w:val="354CEE32"/>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 w15:restartNumberingAfterBreak="0">
    <w:nsid w:val="115109DC"/>
    <w:multiLevelType w:val="hybridMultilevel"/>
    <w:tmpl w:val="C2C800CA"/>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1C728FE"/>
    <w:multiLevelType w:val="hybridMultilevel"/>
    <w:tmpl w:val="A3324C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16A321EE"/>
    <w:multiLevelType w:val="hybridMultilevel"/>
    <w:tmpl w:val="B8007842"/>
    <w:lvl w:ilvl="0" w:tplc="FA90FED2">
      <w:start w:val="1"/>
      <w:numFmt w:val="bullet"/>
      <w:pStyle w:val="Box1Bullet"/>
      <w:lvlText w:val=""/>
      <w:lvlJc w:val="left"/>
      <w:pPr>
        <w:ind w:left="872" w:hanging="360"/>
      </w:pPr>
      <w:rPr>
        <w:rFonts w:ascii="Symbol" w:hAnsi="Symbol" w:hint="default"/>
      </w:rPr>
    </w:lvl>
    <w:lvl w:ilvl="1" w:tplc="0C090003" w:tentative="1">
      <w:start w:val="1"/>
      <w:numFmt w:val="bullet"/>
      <w:lvlText w:val="o"/>
      <w:lvlJc w:val="left"/>
      <w:pPr>
        <w:ind w:left="1592" w:hanging="360"/>
      </w:pPr>
      <w:rPr>
        <w:rFonts w:ascii="Courier New" w:hAnsi="Courier New" w:cs="Courier New" w:hint="default"/>
      </w:rPr>
    </w:lvl>
    <w:lvl w:ilvl="2" w:tplc="0C090005" w:tentative="1">
      <w:start w:val="1"/>
      <w:numFmt w:val="bullet"/>
      <w:lvlText w:val=""/>
      <w:lvlJc w:val="left"/>
      <w:pPr>
        <w:ind w:left="2312" w:hanging="360"/>
      </w:pPr>
      <w:rPr>
        <w:rFonts w:ascii="Wingdings" w:hAnsi="Wingdings" w:hint="default"/>
      </w:rPr>
    </w:lvl>
    <w:lvl w:ilvl="3" w:tplc="0C090001" w:tentative="1">
      <w:start w:val="1"/>
      <w:numFmt w:val="bullet"/>
      <w:lvlText w:val=""/>
      <w:lvlJc w:val="left"/>
      <w:pPr>
        <w:ind w:left="3032" w:hanging="360"/>
      </w:pPr>
      <w:rPr>
        <w:rFonts w:ascii="Symbol" w:hAnsi="Symbol" w:hint="default"/>
      </w:rPr>
    </w:lvl>
    <w:lvl w:ilvl="4" w:tplc="0C090003" w:tentative="1">
      <w:start w:val="1"/>
      <w:numFmt w:val="bullet"/>
      <w:lvlText w:val="o"/>
      <w:lvlJc w:val="left"/>
      <w:pPr>
        <w:ind w:left="3752" w:hanging="360"/>
      </w:pPr>
      <w:rPr>
        <w:rFonts w:ascii="Courier New" w:hAnsi="Courier New" w:cs="Courier New" w:hint="default"/>
      </w:rPr>
    </w:lvl>
    <w:lvl w:ilvl="5" w:tplc="0C090005" w:tentative="1">
      <w:start w:val="1"/>
      <w:numFmt w:val="bullet"/>
      <w:lvlText w:val=""/>
      <w:lvlJc w:val="left"/>
      <w:pPr>
        <w:ind w:left="4472" w:hanging="360"/>
      </w:pPr>
      <w:rPr>
        <w:rFonts w:ascii="Wingdings" w:hAnsi="Wingdings" w:hint="default"/>
      </w:rPr>
    </w:lvl>
    <w:lvl w:ilvl="6" w:tplc="0C090001" w:tentative="1">
      <w:start w:val="1"/>
      <w:numFmt w:val="bullet"/>
      <w:lvlText w:val=""/>
      <w:lvlJc w:val="left"/>
      <w:pPr>
        <w:ind w:left="5192" w:hanging="360"/>
      </w:pPr>
      <w:rPr>
        <w:rFonts w:ascii="Symbol" w:hAnsi="Symbol" w:hint="default"/>
      </w:rPr>
    </w:lvl>
    <w:lvl w:ilvl="7" w:tplc="0C090003" w:tentative="1">
      <w:start w:val="1"/>
      <w:numFmt w:val="bullet"/>
      <w:lvlText w:val="o"/>
      <w:lvlJc w:val="left"/>
      <w:pPr>
        <w:ind w:left="5912" w:hanging="360"/>
      </w:pPr>
      <w:rPr>
        <w:rFonts w:ascii="Courier New" w:hAnsi="Courier New" w:cs="Courier New" w:hint="default"/>
      </w:rPr>
    </w:lvl>
    <w:lvl w:ilvl="8" w:tplc="0C090005" w:tentative="1">
      <w:start w:val="1"/>
      <w:numFmt w:val="bullet"/>
      <w:lvlText w:val=""/>
      <w:lvlJc w:val="left"/>
      <w:pPr>
        <w:ind w:left="6632" w:hanging="360"/>
      </w:pPr>
      <w:rPr>
        <w:rFonts w:ascii="Wingdings" w:hAnsi="Wingdings" w:hint="default"/>
      </w:rPr>
    </w:lvl>
  </w:abstractNum>
  <w:abstractNum w:abstractNumId="12" w15:restartNumberingAfterBreak="0">
    <w:nsid w:val="1E1F3AF9"/>
    <w:multiLevelType w:val="hybridMultilevel"/>
    <w:tmpl w:val="50842CC2"/>
    <w:lvl w:ilvl="0" w:tplc="14090001">
      <w:start w:val="1"/>
      <w:numFmt w:val="bullet"/>
      <w:lvlText w:val=""/>
      <w:lvlJc w:val="left"/>
      <w:pPr>
        <w:ind w:left="720" w:hanging="360"/>
      </w:pPr>
      <w:rPr>
        <w:rFonts w:ascii="Symbol" w:hAnsi="Symbol"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15:restartNumberingAfterBreak="0">
    <w:nsid w:val="1FFE00EF"/>
    <w:multiLevelType w:val="hybridMultilevel"/>
    <w:tmpl w:val="0872638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23B055F4"/>
    <w:multiLevelType w:val="hybridMultilevel"/>
    <w:tmpl w:val="EF4600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2B9B159F"/>
    <w:multiLevelType w:val="multilevel"/>
    <w:tmpl w:val="E1D42876"/>
    <w:styleLink w:val="HeadingsList"/>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9924"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16" w15:restartNumberingAfterBreak="0">
    <w:nsid w:val="2C3111AA"/>
    <w:multiLevelType w:val="hybridMultilevel"/>
    <w:tmpl w:val="940CFEE0"/>
    <w:lvl w:ilvl="0" w:tplc="1409000F">
      <w:start w:val="1"/>
      <w:numFmt w:val="decimal"/>
      <w:lvlText w:val="%1."/>
      <w:lvlJc w:val="left"/>
      <w:pPr>
        <w:ind w:left="720" w:hanging="360"/>
      </w:pPr>
    </w:lvl>
    <w:lvl w:ilvl="1" w:tplc="14090001">
      <w:start w:val="1"/>
      <w:numFmt w:val="bullet"/>
      <w:lvlText w:val=""/>
      <w:lvlJc w:val="left"/>
      <w:pPr>
        <w:ind w:left="1440" w:hanging="360"/>
      </w:pPr>
      <w:rPr>
        <w:rFonts w:ascii="Symbol" w:hAnsi="Symbol" w:hint="default"/>
      </w:r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17" w15:restartNumberingAfterBreak="0">
    <w:nsid w:val="30197B88"/>
    <w:multiLevelType w:val="hybridMultilevel"/>
    <w:tmpl w:val="DBC6DF4A"/>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8" w15:restartNumberingAfterBreak="0">
    <w:nsid w:val="32FC2D03"/>
    <w:multiLevelType w:val="hybridMultilevel"/>
    <w:tmpl w:val="8D08CD0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9" w15:restartNumberingAfterBreak="0">
    <w:nsid w:val="355072EE"/>
    <w:multiLevelType w:val="hybridMultilevel"/>
    <w:tmpl w:val="D7402FB6"/>
    <w:lvl w:ilvl="0" w:tplc="1409001B">
      <w:start w:val="1"/>
      <w:numFmt w:val="lowerRoman"/>
      <w:lvlText w:val="%1."/>
      <w:lvlJc w:val="righ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0" w15:restartNumberingAfterBreak="0">
    <w:nsid w:val="36301771"/>
    <w:multiLevelType w:val="hybridMultilevel"/>
    <w:tmpl w:val="1C1262A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6C574B6"/>
    <w:multiLevelType w:val="multilevel"/>
    <w:tmpl w:val="684EFD3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38375BCB"/>
    <w:multiLevelType w:val="hybridMultilevel"/>
    <w:tmpl w:val="83B4EF88"/>
    <w:lvl w:ilvl="0" w:tplc="14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91D5B4B"/>
    <w:multiLevelType w:val="hybridMultilevel"/>
    <w:tmpl w:val="ECDE86D4"/>
    <w:lvl w:ilvl="0" w:tplc="14090001">
      <w:start w:val="1"/>
      <w:numFmt w:val="bullet"/>
      <w:lvlText w:val=""/>
      <w:lvlJc w:val="left"/>
      <w:pPr>
        <w:ind w:left="1440" w:hanging="360"/>
      </w:pPr>
      <w:rPr>
        <w:rFonts w:ascii="Symbol" w:hAnsi="Symbol" w:hint="default"/>
      </w:rPr>
    </w:lvl>
    <w:lvl w:ilvl="1" w:tplc="14090003">
      <w:start w:val="1"/>
      <w:numFmt w:val="bullet"/>
      <w:lvlText w:val="o"/>
      <w:lvlJc w:val="left"/>
      <w:pPr>
        <w:ind w:left="2160" w:hanging="360"/>
      </w:pPr>
      <w:rPr>
        <w:rFonts w:ascii="Courier New" w:hAnsi="Courier New" w:cs="Courier New" w:hint="default"/>
      </w:rPr>
    </w:lvl>
    <w:lvl w:ilvl="2" w:tplc="14090005">
      <w:start w:val="1"/>
      <w:numFmt w:val="bullet"/>
      <w:lvlText w:val=""/>
      <w:lvlJc w:val="left"/>
      <w:pPr>
        <w:ind w:left="2880" w:hanging="360"/>
      </w:pPr>
      <w:rPr>
        <w:rFonts w:ascii="Wingdings" w:hAnsi="Wingdings" w:hint="default"/>
      </w:rPr>
    </w:lvl>
    <w:lvl w:ilvl="3" w:tplc="14090001">
      <w:start w:val="1"/>
      <w:numFmt w:val="bullet"/>
      <w:lvlText w:val=""/>
      <w:lvlJc w:val="left"/>
      <w:pPr>
        <w:ind w:left="3600" w:hanging="360"/>
      </w:pPr>
      <w:rPr>
        <w:rFonts w:ascii="Symbol" w:hAnsi="Symbol" w:hint="default"/>
      </w:rPr>
    </w:lvl>
    <w:lvl w:ilvl="4" w:tplc="14090003">
      <w:start w:val="1"/>
      <w:numFmt w:val="bullet"/>
      <w:lvlText w:val="o"/>
      <w:lvlJc w:val="left"/>
      <w:pPr>
        <w:ind w:left="4320" w:hanging="360"/>
      </w:pPr>
      <w:rPr>
        <w:rFonts w:ascii="Courier New" w:hAnsi="Courier New" w:cs="Courier New" w:hint="default"/>
      </w:rPr>
    </w:lvl>
    <w:lvl w:ilvl="5" w:tplc="14090005">
      <w:start w:val="1"/>
      <w:numFmt w:val="bullet"/>
      <w:lvlText w:val=""/>
      <w:lvlJc w:val="left"/>
      <w:pPr>
        <w:ind w:left="5040" w:hanging="360"/>
      </w:pPr>
      <w:rPr>
        <w:rFonts w:ascii="Wingdings" w:hAnsi="Wingdings" w:hint="default"/>
      </w:rPr>
    </w:lvl>
    <w:lvl w:ilvl="6" w:tplc="14090001">
      <w:start w:val="1"/>
      <w:numFmt w:val="bullet"/>
      <w:lvlText w:val=""/>
      <w:lvlJc w:val="left"/>
      <w:pPr>
        <w:ind w:left="5760" w:hanging="360"/>
      </w:pPr>
      <w:rPr>
        <w:rFonts w:ascii="Symbol" w:hAnsi="Symbol" w:hint="default"/>
      </w:rPr>
    </w:lvl>
    <w:lvl w:ilvl="7" w:tplc="14090003">
      <w:start w:val="1"/>
      <w:numFmt w:val="bullet"/>
      <w:lvlText w:val="o"/>
      <w:lvlJc w:val="left"/>
      <w:pPr>
        <w:ind w:left="6480" w:hanging="360"/>
      </w:pPr>
      <w:rPr>
        <w:rFonts w:ascii="Courier New" w:hAnsi="Courier New" w:cs="Courier New" w:hint="default"/>
      </w:rPr>
    </w:lvl>
    <w:lvl w:ilvl="8" w:tplc="14090005">
      <w:start w:val="1"/>
      <w:numFmt w:val="bullet"/>
      <w:lvlText w:val=""/>
      <w:lvlJc w:val="left"/>
      <w:pPr>
        <w:ind w:left="7200" w:hanging="360"/>
      </w:pPr>
      <w:rPr>
        <w:rFonts w:ascii="Wingdings" w:hAnsi="Wingdings" w:hint="default"/>
      </w:rPr>
    </w:lvl>
  </w:abstractNum>
  <w:abstractNum w:abstractNumId="24" w15:restartNumberingAfterBreak="0">
    <w:nsid w:val="3AF752D1"/>
    <w:multiLevelType w:val="hybridMultilevel"/>
    <w:tmpl w:val="D11CB7DA"/>
    <w:lvl w:ilvl="0" w:tplc="14090001">
      <w:start w:val="1"/>
      <w:numFmt w:val="bullet"/>
      <w:lvlText w:val=""/>
      <w:lvlJc w:val="left"/>
      <w:pPr>
        <w:ind w:left="1440" w:hanging="360"/>
      </w:pPr>
      <w:rPr>
        <w:rFonts w:ascii="Symbol" w:hAnsi="Symbol" w:hint="default"/>
      </w:rPr>
    </w:lvl>
    <w:lvl w:ilvl="1" w:tplc="14090003">
      <w:start w:val="1"/>
      <w:numFmt w:val="bullet"/>
      <w:lvlText w:val="o"/>
      <w:lvlJc w:val="left"/>
      <w:pPr>
        <w:ind w:left="2160" w:hanging="360"/>
      </w:pPr>
      <w:rPr>
        <w:rFonts w:ascii="Courier New" w:hAnsi="Courier New" w:cs="Courier New" w:hint="default"/>
      </w:rPr>
    </w:lvl>
    <w:lvl w:ilvl="2" w:tplc="14090005">
      <w:start w:val="1"/>
      <w:numFmt w:val="bullet"/>
      <w:lvlText w:val=""/>
      <w:lvlJc w:val="left"/>
      <w:pPr>
        <w:ind w:left="2880" w:hanging="360"/>
      </w:pPr>
      <w:rPr>
        <w:rFonts w:ascii="Wingdings" w:hAnsi="Wingdings" w:hint="default"/>
      </w:rPr>
    </w:lvl>
    <w:lvl w:ilvl="3" w:tplc="14090001">
      <w:start w:val="1"/>
      <w:numFmt w:val="bullet"/>
      <w:lvlText w:val=""/>
      <w:lvlJc w:val="left"/>
      <w:pPr>
        <w:ind w:left="3600" w:hanging="360"/>
      </w:pPr>
      <w:rPr>
        <w:rFonts w:ascii="Symbol" w:hAnsi="Symbol" w:hint="default"/>
      </w:rPr>
    </w:lvl>
    <w:lvl w:ilvl="4" w:tplc="14090003">
      <w:start w:val="1"/>
      <w:numFmt w:val="bullet"/>
      <w:lvlText w:val="o"/>
      <w:lvlJc w:val="left"/>
      <w:pPr>
        <w:ind w:left="4320" w:hanging="360"/>
      </w:pPr>
      <w:rPr>
        <w:rFonts w:ascii="Courier New" w:hAnsi="Courier New" w:cs="Courier New" w:hint="default"/>
      </w:rPr>
    </w:lvl>
    <w:lvl w:ilvl="5" w:tplc="14090005">
      <w:start w:val="1"/>
      <w:numFmt w:val="bullet"/>
      <w:lvlText w:val=""/>
      <w:lvlJc w:val="left"/>
      <w:pPr>
        <w:ind w:left="5040" w:hanging="360"/>
      </w:pPr>
      <w:rPr>
        <w:rFonts w:ascii="Wingdings" w:hAnsi="Wingdings" w:hint="default"/>
      </w:rPr>
    </w:lvl>
    <w:lvl w:ilvl="6" w:tplc="14090001">
      <w:start w:val="1"/>
      <w:numFmt w:val="bullet"/>
      <w:lvlText w:val=""/>
      <w:lvlJc w:val="left"/>
      <w:pPr>
        <w:ind w:left="5760" w:hanging="360"/>
      </w:pPr>
      <w:rPr>
        <w:rFonts w:ascii="Symbol" w:hAnsi="Symbol" w:hint="default"/>
      </w:rPr>
    </w:lvl>
    <w:lvl w:ilvl="7" w:tplc="14090003">
      <w:start w:val="1"/>
      <w:numFmt w:val="bullet"/>
      <w:lvlText w:val="o"/>
      <w:lvlJc w:val="left"/>
      <w:pPr>
        <w:ind w:left="6480" w:hanging="360"/>
      </w:pPr>
      <w:rPr>
        <w:rFonts w:ascii="Courier New" w:hAnsi="Courier New" w:cs="Courier New" w:hint="default"/>
      </w:rPr>
    </w:lvl>
    <w:lvl w:ilvl="8" w:tplc="14090005">
      <w:start w:val="1"/>
      <w:numFmt w:val="bullet"/>
      <w:lvlText w:val=""/>
      <w:lvlJc w:val="left"/>
      <w:pPr>
        <w:ind w:left="7200" w:hanging="360"/>
      </w:pPr>
      <w:rPr>
        <w:rFonts w:ascii="Wingdings" w:hAnsi="Wingdings" w:hint="default"/>
      </w:rPr>
    </w:lvl>
  </w:abstractNum>
  <w:abstractNum w:abstractNumId="25" w15:restartNumberingAfterBreak="0">
    <w:nsid w:val="3F02033A"/>
    <w:multiLevelType w:val="hybridMultilevel"/>
    <w:tmpl w:val="E2CC544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6" w15:restartNumberingAfterBreak="0">
    <w:nsid w:val="3F427A51"/>
    <w:multiLevelType w:val="multilevel"/>
    <w:tmpl w:val="A01239B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7" w15:restartNumberingAfterBreak="0">
    <w:nsid w:val="41A33983"/>
    <w:multiLevelType w:val="hybridMultilevel"/>
    <w:tmpl w:val="41642894"/>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8" w15:restartNumberingAfterBreak="0">
    <w:nsid w:val="43750FBE"/>
    <w:multiLevelType w:val="hybridMultilevel"/>
    <w:tmpl w:val="90DE3B88"/>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5A80750"/>
    <w:multiLevelType w:val="hybridMultilevel"/>
    <w:tmpl w:val="6A7471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7D45293"/>
    <w:multiLevelType w:val="hybridMultilevel"/>
    <w:tmpl w:val="0E42358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1" w15:restartNumberingAfterBreak="0">
    <w:nsid w:val="4A3809BF"/>
    <w:multiLevelType w:val="hybridMultilevel"/>
    <w:tmpl w:val="90DE3B88"/>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FE019EA"/>
    <w:multiLevelType w:val="hybridMultilevel"/>
    <w:tmpl w:val="AD1C766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3" w15:restartNumberingAfterBreak="0">
    <w:nsid w:val="58C96266"/>
    <w:multiLevelType w:val="hybridMultilevel"/>
    <w:tmpl w:val="3D00AB96"/>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4" w15:restartNumberingAfterBreak="0">
    <w:nsid w:val="598B6423"/>
    <w:multiLevelType w:val="hybridMultilevel"/>
    <w:tmpl w:val="93E8CA70"/>
    <w:lvl w:ilvl="0" w:tplc="0C09000F">
      <w:start w:val="1"/>
      <w:numFmt w:val="decimal"/>
      <w:lvlText w:val="%1."/>
      <w:lvlJc w:val="left"/>
      <w:pPr>
        <w:ind w:left="720" w:hanging="360"/>
      </w:pPr>
      <w:rPr>
        <w:rFonts w:hint="default"/>
      </w:rPr>
    </w:lvl>
    <w:lvl w:ilvl="1" w:tplc="AFB092D2">
      <w:start w:val="1"/>
      <w:numFmt w:val="lowerRoman"/>
      <w:lvlText w:val="(%2)"/>
      <w:lvlJc w:val="left"/>
      <w:pPr>
        <w:ind w:left="1800" w:hanging="72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B0466B5"/>
    <w:multiLevelType w:val="hybridMultilevel"/>
    <w:tmpl w:val="FE12B520"/>
    <w:lvl w:ilvl="0" w:tplc="57583BE8">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38A7FF4"/>
    <w:multiLevelType w:val="hybridMultilevel"/>
    <w:tmpl w:val="90DE3B88"/>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58E4AEC"/>
    <w:multiLevelType w:val="multilevel"/>
    <w:tmpl w:val="0BD8C63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8" w15:restartNumberingAfterBreak="0">
    <w:nsid w:val="66C13471"/>
    <w:multiLevelType w:val="hybridMultilevel"/>
    <w:tmpl w:val="90DE3B88"/>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6F048BA"/>
    <w:multiLevelType w:val="hybridMultilevel"/>
    <w:tmpl w:val="90DE3B88"/>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8CB7EAF"/>
    <w:multiLevelType w:val="multilevel"/>
    <w:tmpl w:val="DB1EA814"/>
    <w:lvl w:ilvl="0">
      <w:start w:val="1"/>
      <w:numFmt w:val="decimal"/>
      <w:lvlText w:val="%1."/>
      <w:lvlJc w:val="left"/>
      <w:pPr>
        <w:ind w:left="360" w:hanging="360"/>
      </w:pPr>
      <w:rPr>
        <w:rFonts w:hint="default"/>
      </w:rPr>
    </w:lvl>
    <w:lvl w:ilvl="1">
      <w:start w:val="1"/>
      <w:numFmt w:val="decimal"/>
      <w:pStyle w:val="Heading2Numbered"/>
      <w:lvlText w:val="%1.%2."/>
      <w:lvlJc w:val="left"/>
      <w:pPr>
        <w:ind w:left="792" w:hanging="432"/>
      </w:pPr>
    </w:lvl>
    <w:lvl w:ilvl="2">
      <w:start w:val="1"/>
      <w:numFmt w:val="decimal"/>
      <w:pStyle w:val="Heading3Numbered"/>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695E1110"/>
    <w:multiLevelType w:val="hybridMultilevel"/>
    <w:tmpl w:val="6012EA6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72656F38"/>
    <w:multiLevelType w:val="hybridMultilevel"/>
    <w:tmpl w:val="223EF9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73107305"/>
    <w:multiLevelType w:val="multilevel"/>
    <w:tmpl w:val="5D9A3B7C"/>
    <w:styleLink w:val="BulletsList"/>
    <w:lvl w:ilvl="0">
      <w:start w:val="1"/>
      <w:numFmt w:val="bullet"/>
      <w:lvlText w:val=""/>
      <w:lvlJc w:val="left"/>
      <w:pPr>
        <w:tabs>
          <w:tab w:val="num" w:pos="284"/>
        </w:tabs>
        <w:ind w:left="284" w:firstLine="0"/>
      </w:pPr>
      <w:rPr>
        <w:rFonts w:ascii="Symbol" w:hAnsi="Symbol" w:hint="default"/>
      </w:rPr>
    </w:lvl>
    <w:lvl w:ilvl="1">
      <w:start w:val="1"/>
      <w:numFmt w:val="bullet"/>
      <w:lvlText w:val="–"/>
      <w:lvlJc w:val="left"/>
      <w:pPr>
        <w:tabs>
          <w:tab w:val="num" w:pos="568"/>
        </w:tabs>
        <w:ind w:left="568" w:firstLine="0"/>
      </w:pPr>
      <w:rPr>
        <w:rFonts w:ascii="Arial" w:hAnsi="Arial" w:hint="default"/>
      </w:rPr>
    </w:lvl>
    <w:lvl w:ilvl="2">
      <w:start w:val="1"/>
      <w:numFmt w:val="bullet"/>
      <w:lvlText w:val="»"/>
      <w:lvlJc w:val="left"/>
      <w:pPr>
        <w:tabs>
          <w:tab w:val="num" w:pos="852"/>
        </w:tabs>
        <w:ind w:left="852" w:firstLine="0"/>
      </w:pPr>
      <w:rPr>
        <w:rFonts w:ascii="Arial" w:hAnsi="Arial" w:hint="default"/>
      </w:rPr>
    </w:lvl>
    <w:lvl w:ilvl="3">
      <w:start w:val="1"/>
      <w:numFmt w:val="decimal"/>
      <w:lvlText w:val="(%4)"/>
      <w:lvlJc w:val="left"/>
      <w:pPr>
        <w:tabs>
          <w:tab w:val="num" w:pos="1136"/>
        </w:tabs>
        <w:ind w:left="1136" w:firstLine="0"/>
      </w:pPr>
      <w:rPr>
        <w:rFonts w:hint="default"/>
      </w:rPr>
    </w:lvl>
    <w:lvl w:ilvl="4">
      <w:start w:val="1"/>
      <w:numFmt w:val="lowerLetter"/>
      <w:lvlText w:val="(%5)"/>
      <w:lvlJc w:val="left"/>
      <w:pPr>
        <w:tabs>
          <w:tab w:val="num" w:pos="1420"/>
        </w:tabs>
        <w:ind w:left="1420" w:firstLine="0"/>
      </w:pPr>
      <w:rPr>
        <w:rFonts w:hint="default"/>
      </w:rPr>
    </w:lvl>
    <w:lvl w:ilvl="5">
      <w:start w:val="1"/>
      <w:numFmt w:val="lowerRoman"/>
      <w:lvlText w:val="(%6)"/>
      <w:lvlJc w:val="left"/>
      <w:pPr>
        <w:tabs>
          <w:tab w:val="num" w:pos="1704"/>
        </w:tabs>
        <w:ind w:left="1704" w:firstLine="0"/>
      </w:pPr>
      <w:rPr>
        <w:rFonts w:hint="default"/>
      </w:rPr>
    </w:lvl>
    <w:lvl w:ilvl="6">
      <w:start w:val="1"/>
      <w:numFmt w:val="decimal"/>
      <w:lvlText w:val="%7."/>
      <w:lvlJc w:val="left"/>
      <w:pPr>
        <w:tabs>
          <w:tab w:val="num" w:pos="1988"/>
        </w:tabs>
        <w:ind w:left="1988" w:firstLine="0"/>
      </w:pPr>
      <w:rPr>
        <w:rFonts w:hint="default"/>
      </w:rPr>
    </w:lvl>
    <w:lvl w:ilvl="7">
      <w:start w:val="1"/>
      <w:numFmt w:val="lowerLetter"/>
      <w:lvlText w:val="%8."/>
      <w:lvlJc w:val="left"/>
      <w:pPr>
        <w:tabs>
          <w:tab w:val="num" w:pos="2272"/>
        </w:tabs>
        <w:ind w:left="2272" w:firstLine="0"/>
      </w:pPr>
      <w:rPr>
        <w:rFonts w:hint="default"/>
      </w:rPr>
    </w:lvl>
    <w:lvl w:ilvl="8">
      <w:start w:val="1"/>
      <w:numFmt w:val="lowerRoman"/>
      <w:lvlText w:val="%9."/>
      <w:lvlJc w:val="left"/>
      <w:pPr>
        <w:tabs>
          <w:tab w:val="num" w:pos="2556"/>
        </w:tabs>
        <w:ind w:left="2556" w:firstLine="0"/>
      </w:pPr>
      <w:rPr>
        <w:rFonts w:hint="default"/>
      </w:rPr>
    </w:lvl>
  </w:abstractNum>
  <w:abstractNum w:abstractNumId="44" w15:restartNumberingAfterBreak="0">
    <w:nsid w:val="765031B5"/>
    <w:multiLevelType w:val="hybridMultilevel"/>
    <w:tmpl w:val="36DAC7D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7B386377"/>
    <w:multiLevelType w:val="hybridMultilevel"/>
    <w:tmpl w:val="28025F7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6" w15:restartNumberingAfterBreak="0">
    <w:nsid w:val="7B943A20"/>
    <w:multiLevelType w:val="hybridMultilevel"/>
    <w:tmpl w:val="4F8C251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CCA1E90"/>
    <w:multiLevelType w:val="multilevel"/>
    <w:tmpl w:val="684EFD3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43"/>
  </w:num>
  <w:num w:numId="2">
    <w:abstractNumId w:val="6"/>
  </w:num>
  <w:num w:numId="3">
    <w:abstractNumId w:val="15"/>
  </w:num>
  <w:num w:numId="4">
    <w:abstractNumId w:val="11"/>
  </w:num>
  <w:num w:numId="5">
    <w:abstractNumId w:val="40"/>
  </w:num>
  <w:num w:numId="6">
    <w:abstractNumId w:val="46"/>
  </w:num>
  <w:num w:numId="7">
    <w:abstractNumId w:val="14"/>
  </w:num>
  <w:num w:numId="8">
    <w:abstractNumId w:val="10"/>
  </w:num>
  <w:num w:numId="9">
    <w:abstractNumId w:val="41"/>
  </w:num>
  <w:num w:numId="10">
    <w:abstractNumId w:val="42"/>
  </w:num>
  <w:num w:numId="11">
    <w:abstractNumId w:val="5"/>
  </w:num>
  <w:num w:numId="12">
    <w:abstractNumId w:val="45"/>
  </w:num>
  <w:num w:numId="13">
    <w:abstractNumId w:val="18"/>
  </w:num>
  <w:num w:numId="14">
    <w:abstractNumId w:val="39"/>
  </w:num>
  <w:num w:numId="15">
    <w:abstractNumId w:val="21"/>
  </w:num>
  <w:num w:numId="16">
    <w:abstractNumId w:val="34"/>
  </w:num>
  <w:num w:numId="17">
    <w:abstractNumId w:val="28"/>
  </w:num>
  <w:num w:numId="18">
    <w:abstractNumId w:val="38"/>
  </w:num>
  <w:num w:numId="19">
    <w:abstractNumId w:val="36"/>
  </w:num>
  <w:num w:numId="20">
    <w:abstractNumId w:val="31"/>
  </w:num>
  <w:num w:numId="2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num>
  <w:num w:numId="23">
    <w:abstractNumId w:val="1"/>
  </w:num>
  <w:num w:numId="24">
    <w:abstractNumId w:val="2"/>
  </w:num>
  <w:num w:numId="25">
    <w:abstractNumId w:val="19"/>
  </w:num>
  <w:num w:numId="26">
    <w:abstractNumId w:val="12"/>
  </w:num>
  <w:num w:numId="27">
    <w:abstractNumId w:val="3"/>
  </w:num>
  <w:num w:numId="28">
    <w:abstractNumId w:val="22"/>
  </w:num>
  <w:num w:numId="29">
    <w:abstractNumId w:val="33"/>
  </w:num>
  <w:num w:numId="30">
    <w:abstractNumId w:val="30"/>
  </w:num>
  <w:num w:numId="31">
    <w:abstractNumId w:val="13"/>
  </w:num>
  <w:num w:numId="32">
    <w:abstractNumId w:val="0"/>
    <w:lvlOverride w:ilvl="0">
      <w:lvl w:ilvl="0">
        <w:numFmt w:val="bullet"/>
        <w:lvlText w:val="•"/>
        <w:legacy w:legacy="1" w:legacySpace="0" w:legacyIndent="0"/>
        <w:lvlJc w:val="left"/>
        <w:rPr>
          <w:rFonts w:ascii="Arial" w:hAnsi="Arial" w:cs="Arial" w:hint="default"/>
          <w:sz w:val="24"/>
        </w:rPr>
      </w:lvl>
    </w:lvlOverride>
  </w:num>
  <w:num w:numId="33">
    <w:abstractNumId w:val="27"/>
  </w:num>
  <w:num w:numId="34">
    <w:abstractNumId w:val="4"/>
  </w:num>
  <w:num w:numId="35">
    <w:abstractNumId w:val="32"/>
  </w:num>
  <w:num w:numId="36">
    <w:abstractNumId w:val="25"/>
  </w:num>
  <w:num w:numId="37">
    <w:abstractNumId w:val="17"/>
  </w:num>
  <w:num w:numId="38">
    <w:abstractNumId w:val="8"/>
  </w:num>
  <w:num w:numId="39">
    <w:abstractNumId w:val="24"/>
  </w:num>
  <w:num w:numId="40">
    <w:abstractNumId w:val="1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3"/>
  </w:num>
  <w:num w:numId="42">
    <w:abstractNumId w:val="7"/>
  </w:num>
  <w:num w:numId="43">
    <w:abstractNumId w:val="35"/>
  </w:num>
  <w:num w:numId="44">
    <w:abstractNumId w:val="29"/>
  </w:num>
  <w:num w:numId="45">
    <w:abstractNumId w:val="44"/>
  </w:num>
  <w:num w:numId="46">
    <w:abstractNumId w:val="47"/>
  </w:num>
  <w:num w:numId="47">
    <w:abstractNumId w:val="20"/>
  </w:num>
  <w:num w:numId="48">
    <w:abstractNumId w:val="9"/>
  </w:num>
  <w:num w:numId="49">
    <w:abstractNumId w:val="40"/>
  </w:num>
  <w:num w:numId="50">
    <w:abstractNumId w:val="40"/>
  </w:num>
  <w:num w:numId="51">
    <w:abstractNumId w:val="4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activeWritingStyle w:appName="MSWord" w:lang="es-CL" w:vendorID="64" w:dllVersion="6" w:nlCheck="1" w:checkStyle="0"/>
  <w:activeWritingStyle w:appName="MSWord" w:lang="en-GB" w:vendorID="64" w:dllVersion="6" w:nlCheck="1" w:checkStyle="1"/>
  <w:activeWritingStyle w:appName="MSWord" w:lang="en-US" w:vendorID="64" w:dllVersion="6" w:nlCheck="1" w:checkStyle="1"/>
  <w:activeWritingStyle w:appName="MSWord" w:lang="en-AU" w:vendorID="64" w:dllVersion="6" w:nlCheck="1" w:checkStyle="1"/>
  <w:activeWritingStyle w:appName="MSWord" w:lang="en-AU" w:vendorID="64" w:dllVersion="0" w:nlCheck="1" w:checkStyle="0"/>
  <w:activeWritingStyle w:appName="MSWord" w:lang="en-US" w:vendorID="64" w:dllVersion="0" w:nlCheck="1" w:checkStyle="0"/>
  <w:activeWritingStyle w:appName="MSWord" w:lang="en-GB" w:vendorID="64" w:dllVersion="0" w:nlCheck="1" w:checkStyle="0"/>
  <w:activeWritingStyle w:appName="MSWord" w:lang="en-AU" w:vendorID="64" w:dllVersion="4096" w:nlCheck="1" w:checkStyle="0"/>
  <w:activeWritingStyle w:appName="MSWord" w:lang="en-US" w:vendorID="64" w:dllVersion="4096" w:nlCheck="1" w:checkStyle="0"/>
  <w:activeWritingStyle w:appName="MSWord" w:lang="en-GB" w:vendorID="64" w:dllVersion="4096" w:nlCheck="1" w:checkStyle="0"/>
  <w:proofState w:spelling="clean" w:grammar="clean"/>
  <w:attachedTemplate r:id="rId1"/>
  <w:defaultTabStop w:val="720"/>
  <w:characterSpacingControl w:val="doNotCompress"/>
  <w:hdrShapeDefaults>
    <o:shapedefaults v:ext="edit" spidmax="2073"/>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491C"/>
    <w:rsid w:val="00000F5C"/>
    <w:rsid w:val="00002CAE"/>
    <w:rsid w:val="00002F6F"/>
    <w:rsid w:val="0000567A"/>
    <w:rsid w:val="0000763D"/>
    <w:rsid w:val="00010C71"/>
    <w:rsid w:val="00011BB4"/>
    <w:rsid w:val="00013A9B"/>
    <w:rsid w:val="0001522C"/>
    <w:rsid w:val="00016ACD"/>
    <w:rsid w:val="000208A0"/>
    <w:rsid w:val="00022D31"/>
    <w:rsid w:val="00030858"/>
    <w:rsid w:val="0003177D"/>
    <w:rsid w:val="00031802"/>
    <w:rsid w:val="0003376D"/>
    <w:rsid w:val="00035828"/>
    <w:rsid w:val="00040622"/>
    <w:rsid w:val="00042AE8"/>
    <w:rsid w:val="00042B52"/>
    <w:rsid w:val="000436B6"/>
    <w:rsid w:val="00044173"/>
    <w:rsid w:val="00047351"/>
    <w:rsid w:val="00047A67"/>
    <w:rsid w:val="00051093"/>
    <w:rsid w:val="000532E3"/>
    <w:rsid w:val="00053D3E"/>
    <w:rsid w:val="00054F44"/>
    <w:rsid w:val="000557D6"/>
    <w:rsid w:val="0006558F"/>
    <w:rsid w:val="000658EB"/>
    <w:rsid w:val="000707DF"/>
    <w:rsid w:val="000725BA"/>
    <w:rsid w:val="000738E8"/>
    <w:rsid w:val="0007532F"/>
    <w:rsid w:val="0008020F"/>
    <w:rsid w:val="000820FC"/>
    <w:rsid w:val="0008267D"/>
    <w:rsid w:val="00082EB8"/>
    <w:rsid w:val="0008395E"/>
    <w:rsid w:val="00083F87"/>
    <w:rsid w:val="0008411A"/>
    <w:rsid w:val="000847BE"/>
    <w:rsid w:val="000848D5"/>
    <w:rsid w:val="00085034"/>
    <w:rsid w:val="00094433"/>
    <w:rsid w:val="00094A48"/>
    <w:rsid w:val="00096447"/>
    <w:rsid w:val="00096E34"/>
    <w:rsid w:val="00097E96"/>
    <w:rsid w:val="00097F92"/>
    <w:rsid w:val="000A29C5"/>
    <w:rsid w:val="000A5A60"/>
    <w:rsid w:val="000A75C0"/>
    <w:rsid w:val="000B1900"/>
    <w:rsid w:val="000B276A"/>
    <w:rsid w:val="000B2A7A"/>
    <w:rsid w:val="000C0E99"/>
    <w:rsid w:val="000C249A"/>
    <w:rsid w:val="000C408E"/>
    <w:rsid w:val="000C558E"/>
    <w:rsid w:val="000C5922"/>
    <w:rsid w:val="000C5AAD"/>
    <w:rsid w:val="000D0F11"/>
    <w:rsid w:val="000D1730"/>
    <w:rsid w:val="000D30FB"/>
    <w:rsid w:val="000D6C89"/>
    <w:rsid w:val="000E1DA7"/>
    <w:rsid w:val="000E2DCB"/>
    <w:rsid w:val="000E4402"/>
    <w:rsid w:val="000E4C6E"/>
    <w:rsid w:val="000E536B"/>
    <w:rsid w:val="000E5E81"/>
    <w:rsid w:val="000E5F5F"/>
    <w:rsid w:val="000E786B"/>
    <w:rsid w:val="000F166F"/>
    <w:rsid w:val="000F472A"/>
    <w:rsid w:val="000F51BE"/>
    <w:rsid w:val="000F6D12"/>
    <w:rsid w:val="00106A27"/>
    <w:rsid w:val="001107A2"/>
    <w:rsid w:val="00110B24"/>
    <w:rsid w:val="00112364"/>
    <w:rsid w:val="001123A2"/>
    <w:rsid w:val="00113075"/>
    <w:rsid w:val="00116580"/>
    <w:rsid w:val="001177FB"/>
    <w:rsid w:val="00122426"/>
    <w:rsid w:val="00125283"/>
    <w:rsid w:val="001253AF"/>
    <w:rsid w:val="00125F91"/>
    <w:rsid w:val="0012627E"/>
    <w:rsid w:val="00127D3C"/>
    <w:rsid w:val="00133871"/>
    <w:rsid w:val="0013531D"/>
    <w:rsid w:val="00135785"/>
    <w:rsid w:val="0013585D"/>
    <w:rsid w:val="001367DD"/>
    <w:rsid w:val="001402EC"/>
    <w:rsid w:val="001410C2"/>
    <w:rsid w:val="0014359B"/>
    <w:rsid w:val="00147A20"/>
    <w:rsid w:val="001543FE"/>
    <w:rsid w:val="00154F91"/>
    <w:rsid w:val="001557D1"/>
    <w:rsid w:val="001576DC"/>
    <w:rsid w:val="00161747"/>
    <w:rsid w:val="00162CC5"/>
    <w:rsid w:val="00165B18"/>
    <w:rsid w:val="00165BCE"/>
    <w:rsid w:val="00170235"/>
    <w:rsid w:val="00170696"/>
    <w:rsid w:val="0017232B"/>
    <w:rsid w:val="0017281A"/>
    <w:rsid w:val="00172C9C"/>
    <w:rsid w:val="00173386"/>
    <w:rsid w:val="0017359A"/>
    <w:rsid w:val="00173EAD"/>
    <w:rsid w:val="00180CBE"/>
    <w:rsid w:val="001818C4"/>
    <w:rsid w:val="00181910"/>
    <w:rsid w:val="00182138"/>
    <w:rsid w:val="00185DFC"/>
    <w:rsid w:val="00186035"/>
    <w:rsid w:val="001874AD"/>
    <w:rsid w:val="00190864"/>
    <w:rsid w:val="0019098A"/>
    <w:rsid w:val="00190FE7"/>
    <w:rsid w:val="00192D54"/>
    <w:rsid w:val="001930AC"/>
    <w:rsid w:val="001A000E"/>
    <w:rsid w:val="001A0640"/>
    <w:rsid w:val="001A0F73"/>
    <w:rsid w:val="001A507E"/>
    <w:rsid w:val="001B0EDF"/>
    <w:rsid w:val="001B0FF9"/>
    <w:rsid w:val="001B132C"/>
    <w:rsid w:val="001B2A1D"/>
    <w:rsid w:val="001B2D7E"/>
    <w:rsid w:val="001B4A95"/>
    <w:rsid w:val="001B4FE0"/>
    <w:rsid w:val="001B5A5A"/>
    <w:rsid w:val="001B5C8E"/>
    <w:rsid w:val="001C0214"/>
    <w:rsid w:val="001C132D"/>
    <w:rsid w:val="001C504B"/>
    <w:rsid w:val="001C56E4"/>
    <w:rsid w:val="001D0BD3"/>
    <w:rsid w:val="001D3DCB"/>
    <w:rsid w:val="001D443C"/>
    <w:rsid w:val="001E1BD7"/>
    <w:rsid w:val="001E406B"/>
    <w:rsid w:val="001E4B90"/>
    <w:rsid w:val="001E5E5D"/>
    <w:rsid w:val="001E5FD9"/>
    <w:rsid w:val="001F0449"/>
    <w:rsid w:val="001F3217"/>
    <w:rsid w:val="001F3BD1"/>
    <w:rsid w:val="001F3D89"/>
    <w:rsid w:val="001F6B59"/>
    <w:rsid w:val="001F71FE"/>
    <w:rsid w:val="0020142D"/>
    <w:rsid w:val="002036E6"/>
    <w:rsid w:val="0020515B"/>
    <w:rsid w:val="0020609A"/>
    <w:rsid w:val="00207DEE"/>
    <w:rsid w:val="00210F63"/>
    <w:rsid w:val="00211035"/>
    <w:rsid w:val="00211744"/>
    <w:rsid w:val="00213BC4"/>
    <w:rsid w:val="00215158"/>
    <w:rsid w:val="00217AA6"/>
    <w:rsid w:val="0022113F"/>
    <w:rsid w:val="002223E1"/>
    <w:rsid w:val="00224F36"/>
    <w:rsid w:val="002279C3"/>
    <w:rsid w:val="002312FA"/>
    <w:rsid w:val="0023367B"/>
    <w:rsid w:val="00233990"/>
    <w:rsid w:val="00234E2F"/>
    <w:rsid w:val="00235163"/>
    <w:rsid w:val="00235541"/>
    <w:rsid w:val="00235F9F"/>
    <w:rsid w:val="002365CA"/>
    <w:rsid w:val="00237BE1"/>
    <w:rsid w:val="002453C6"/>
    <w:rsid w:val="00245460"/>
    <w:rsid w:val="00245A70"/>
    <w:rsid w:val="002461DB"/>
    <w:rsid w:val="0025186F"/>
    <w:rsid w:val="002530C2"/>
    <w:rsid w:val="00253A65"/>
    <w:rsid w:val="00254A94"/>
    <w:rsid w:val="0025515C"/>
    <w:rsid w:val="00255CF0"/>
    <w:rsid w:val="00257F8F"/>
    <w:rsid w:val="00260F23"/>
    <w:rsid w:val="00262742"/>
    <w:rsid w:val="0026691D"/>
    <w:rsid w:val="00267B1E"/>
    <w:rsid w:val="00273128"/>
    <w:rsid w:val="00273A19"/>
    <w:rsid w:val="00273CEE"/>
    <w:rsid w:val="002762D8"/>
    <w:rsid w:val="0028252B"/>
    <w:rsid w:val="00282808"/>
    <w:rsid w:val="00283168"/>
    <w:rsid w:val="002831EE"/>
    <w:rsid w:val="00283DA1"/>
    <w:rsid w:val="0028491B"/>
    <w:rsid w:val="002855E3"/>
    <w:rsid w:val="002908D6"/>
    <w:rsid w:val="00290FEA"/>
    <w:rsid w:val="002910FB"/>
    <w:rsid w:val="002915DC"/>
    <w:rsid w:val="00292101"/>
    <w:rsid w:val="00292A26"/>
    <w:rsid w:val="00292AFC"/>
    <w:rsid w:val="00293A85"/>
    <w:rsid w:val="00294636"/>
    <w:rsid w:val="00296B8C"/>
    <w:rsid w:val="00297460"/>
    <w:rsid w:val="002979A0"/>
    <w:rsid w:val="002A16AF"/>
    <w:rsid w:val="002A3D5F"/>
    <w:rsid w:val="002A5BA7"/>
    <w:rsid w:val="002A78B8"/>
    <w:rsid w:val="002A7BAB"/>
    <w:rsid w:val="002B04D1"/>
    <w:rsid w:val="002B0E34"/>
    <w:rsid w:val="002B19D2"/>
    <w:rsid w:val="002B4434"/>
    <w:rsid w:val="002B46BD"/>
    <w:rsid w:val="002B473D"/>
    <w:rsid w:val="002B4856"/>
    <w:rsid w:val="002B78CF"/>
    <w:rsid w:val="002C4CE4"/>
    <w:rsid w:val="002C7055"/>
    <w:rsid w:val="002D2EC8"/>
    <w:rsid w:val="002D60C7"/>
    <w:rsid w:val="002D7F95"/>
    <w:rsid w:val="002E299A"/>
    <w:rsid w:val="002E3424"/>
    <w:rsid w:val="002E3CCF"/>
    <w:rsid w:val="002E4FC5"/>
    <w:rsid w:val="002E5679"/>
    <w:rsid w:val="002E76D2"/>
    <w:rsid w:val="002F0820"/>
    <w:rsid w:val="002F22AD"/>
    <w:rsid w:val="002F3A9F"/>
    <w:rsid w:val="002F5097"/>
    <w:rsid w:val="002F529B"/>
    <w:rsid w:val="002F59A4"/>
    <w:rsid w:val="002F6F44"/>
    <w:rsid w:val="002F722C"/>
    <w:rsid w:val="002F7386"/>
    <w:rsid w:val="00302CE7"/>
    <w:rsid w:val="00304D70"/>
    <w:rsid w:val="00305B4F"/>
    <w:rsid w:val="00307410"/>
    <w:rsid w:val="00307523"/>
    <w:rsid w:val="003115A6"/>
    <w:rsid w:val="00313C0C"/>
    <w:rsid w:val="003205A9"/>
    <w:rsid w:val="00322B45"/>
    <w:rsid w:val="00322E77"/>
    <w:rsid w:val="0032447F"/>
    <w:rsid w:val="003253D3"/>
    <w:rsid w:val="0032692A"/>
    <w:rsid w:val="00330C30"/>
    <w:rsid w:val="003314D6"/>
    <w:rsid w:val="00333808"/>
    <w:rsid w:val="00333B52"/>
    <w:rsid w:val="00334822"/>
    <w:rsid w:val="0033568B"/>
    <w:rsid w:val="00336A12"/>
    <w:rsid w:val="00340682"/>
    <w:rsid w:val="00344451"/>
    <w:rsid w:val="0034655D"/>
    <w:rsid w:val="00346CBA"/>
    <w:rsid w:val="0035046F"/>
    <w:rsid w:val="00351202"/>
    <w:rsid w:val="00352DE3"/>
    <w:rsid w:val="003539A5"/>
    <w:rsid w:val="00353F06"/>
    <w:rsid w:val="003544DD"/>
    <w:rsid w:val="00355035"/>
    <w:rsid w:val="00355778"/>
    <w:rsid w:val="003575EC"/>
    <w:rsid w:val="00357B27"/>
    <w:rsid w:val="00360DD1"/>
    <w:rsid w:val="003613B0"/>
    <w:rsid w:val="00361B41"/>
    <w:rsid w:val="003647F4"/>
    <w:rsid w:val="00364A66"/>
    <w:rsid w:val="003654AF"/>
    <w:rsid w:val="00370BFC"/>
    <w:rsid w:val="00371256"/>
    <w:rsid w:val="0037189B"/>
    <w:rsid w:val="00373A9B"/>
    <w:rsid w:val="00374BC0"/>
    <w:rsid w:val="00374EBC"/>
    <w:rsid w:val="00377B23"/>
    <w:rsid w:val="00377F7E"/>
    <w:rsid w:val="00380F4E"/>
    <w:rsid w:val="00381AA7"/>
    <w:rsid w:val="0038473D"/>
    <w:rsid w:val="003860ED"/>
    <w:rsid w:val="00386DC3"/>
    <w:rsid w:val="00387CF6"/>
    <w:rsid w:val="003904A1"/>
    <w:rsid w:val="00390C1A"/>
    <w:rsid w:val="003933BC"/>
    <w:rsid w:val="00396645"/>
    <w:rsid w:val="0039697C"/>
    <w:rsid w:val="00396FAB"/>
    <w:rsid w:val="003A09D1"/>
    <w:rsid w:val="003A1459"/>
    <w:rsid w:val="003A4A52"/>
    <w:rsid w:val="003A5726"/>
    <w:rsid w:val="003A6EB6"/>
    <w:rsid w:val="003A6FD7"/>
    <w:rsid w:val="003B0771"/>
    <w:rsid w:val="003B182D"/>
    <w:rsid w:val="003B1E4F"/>
    <w:rsid w:val="003B75BE"/>
    <w:rsid w:val="003C1861"/>
    <w:rsid w:val="003C1CF6"/>
    <w:rsid w:val="003C2AE2"/>
    <w:rsid w:val="003C3418"/>
    <w:rsid w:val="003C3D38"/>
    <w:rsid w:val="003C55CE"/>
    <w:rsid w:val="003C55D1"/>
    <w:rsid w:val="003C5902"/>
    <w:rsid w:val="003C6226"/>
    <w:rsid w:val="003C7809"/>
    <w:rsid w:val="003C7CE7"/>
    <w:rsid w:val="003C7DE9"/>
    <w:rsid w:val="003D0AD2"/>
    <w:rsid w:val="003D1C71"/>
    <w:rsid w:val="003D22FF"/>
    <w:rsid w:val="003D2960"/>
    <w:rsid w:val="003D2AC8"/>
    <w:rsid w:val="003D417E"/>
    <w:rsid w:val="003D4378"/>
    <w:rsid w:val="003D772B"/>
    <w:rsid w:val="003E11DB"/>
    <w:rsid w:val="003E35A9"/>
    <w:rsid w:val="003E37D2"/>
    <w:rsid w:val="003F0FAB"/>
    <w:rsid w:val="003F10C1"/>
    <w:rsid w:val="003F14F4"/>
    <w:rsid w:val="003F1824"/>
    <w:rsid w:val="003F2A14"/>
    <w:rsid w:val="003F44F7"/>
    <w:rsid w:val="003F58E8"/>
    <w:rsid w:val="003F6925"/>
    <w:rsid w:val="003F768D"/>
    <w:rsid w:val="003F7695"/>
    <w:rsid w:val="003F7AB4"/>
    <w:rsid w:val="00402C12"/>
    <w:rsid w:val="004030EE"/>
    <w:rsid w:val="00403D4C"/>
    <w:rsid w:val="004066CA"/>
    <w:rsid w:val="00407EE5"/>
    <w:rsid w:val="00411DC6"/>
    <w:rsid w:val="004140BA"/>
    <w:rsid w:val="0041512B"/>
    <w:rsid w:val="00415249"/>
    <w:rsid w:val="004159AB"/>
    <w:rsid w:val="00421CF0"/>
    <w:rsid w:val="0042484F"/>
    <w:rsid w:val="00424C86"/>
    <w:rsid w:val="00426165"/>
    <w:rsid w:val="0042629D"/>
    <w:rsid w:val="004269C8"/>
    <w:rsid w:val="00431207"/>
    <w:rsid w:val="00431E6F"/>
    <w:rsid w:val="0043282F"/>
    <w:rsid w:val="00441560"/>
    <w:rsid w:val="00441AD4"/>
    <w:rsid w:val="00442520"/>
    <w:rsid w:val="0044323A"/>
    <w:rsid w:val="00445F7C"/>
    <w:rsid w:val="00447855"/>
    <w:rsid w:val="00451625"/>
    <w:rsid w:val="00452B46"/>
    <w:rsid w:val="00453A06"/>
    <w:rsid w:val="0045518A"/>
    <w:rsid w:val="004613FC"/>
    <w:rsid w:val="00464297"/>
    <w:rsid w:val="0046486F"/>
    <w:rsid w:val="00465872"/>
    <w:rsid w:val="00466519"/>
    <w:rsid w:val="004667F9"/>
    <w:rsid w:val="00470907"/>
    <w:rsid w:val="00470CE5"/>
    <w:rsid w:val="004730B6"/>
    <w:rsid w:val="0047354B"/>
    <w:rsid w:val="00475905"/>
    <w:rsid w:val="0048305A"/>
    <w:rsid w:val="004855CC"/>
    <w:rsid w:val="004869BE"/>
    <w:rsid w:val="00487C5C"/>
    <w:rsid w:val="004906AB"/>
    <w:rsid w:val="004915C1"/>
    <w:rsid w:val="00491A26"/>
    <w:rsid w:val="00493354"/>
    <w:rsid w:val="00493654"/>
    <w:rsid w:val="0049455D"/>
    <w:rsid w:val="00494895"/>
    <w:rsid w:val="00496930"/>
    <w:rsid w:val="004A0275"/>
    <w:rsid w:val="004A1045"/>
    <w:rsid w:val="004A35FD"/>
    <w:rsid w:val="004A6393"/>
    <w:rsid w:val="004A6BA1"/>
    <w:rsid w:val="004B3144"/>
    <w:rsid w:val="004B3E9E"/>
    <w:rsid w:val="004B573F"/>
    <w:rsid w:val="004B5D00"/>
    <w:rsid w:val="004B5F9D"/>
    <w:rsid w:val="004C1DBA"/>
    <w:rsid w:val="004C4B58"/>
    <w:rsid w:val="004C5A9C"/>
    <w:rsid w:val="004C5DE8"/>
    <w:rsid w:val="004C6FB0"/>
    <w:rsid w:val="004C7485"/>
    <w:rsid w:val="004D39D6"/>
    <w:rsid w:val="004D53CE"/>
    <w:rsid w:val="004E00D7"/>
    <w:rsid w:val="004E13FC"/>
    <w:rsid w:val="004E1E3F"/>
    <w:rsid w:val="004E48C7"/>
    <w:rsid w:val="004E4F63"/>
    <w:rsid w:val="004E5361"/>
    <w:rsid w:val="004E5ED5"/>
    <w:rsid w:val="004E7679"/>
    <w:rsid w:val="004F1BC8"/>
    <w:rsid w:val="004F3B12"/>
    <w:rsid w:val="004F4F2A"/>
    <w:rsid w:val="004F6278"/>
    <w:rsid w:val="004F7762"/>
    <w:rsid w:val="00503D49"/>
    <w:rsid w:val="0051014A"/>
    <w:rsid w:val="00510A09"/>
    <w:rsid w:val="00511264"/>
    <w:rsid w:val="005120BF"/>
    <w:rsid w:val="005126D6"/>
    <w:rsid w:val="00513232"/>
    <w:rsid w:val="0051384B"/>
    <w:rsid w:val="0051674C"/>
    <w:rsid w:val="00520286"/>
    <w:rsid w:val="005202A0"/>
    <w:rsid w:val="00520626"/>
    <w:rsid w:val="00520773"/>
    <w:rsid w:val="005211E9"/>
    <w:rsid w:val="00523649"/>
    <w:rsid w:val="00523B68"/>
    <w:rsid w:val="00524AB3"/>
    <w:rsid w:val="00526BFC"/>
    <w:rsid w:val="00527351"/>
    <w:rsid w:val="00532446"/>
    <w:rsid w:val="00532D62"/>
    <w:rsid w:val="00533350"/>
    <w:rsid w:val="005338D4"/>
    <w:rsid w:val="00535394"/>
    <w:rsid w:val="00536332"/>
    <w:rsid w:val="005418D4"/>
    <w:rsid w:val="00541A5C"/>
    <w:rsid w:val="00542081"/>
    <w:rsid w:val="005426D5"/>
    <w:rsid w:val="00544203"/>
    <w:rsid w:val="0054790A"/>
    <w:rsid w:val="00547FD0"/>
    <w:rsid w:val="00551B97"/>
    <w:rsid w:val="00552294"/>
    <w:rsid w:val="00552811"/>
    <w:rsid w:val="00553DDC"/>
    <w:rsid w:val="00554871"/>
    <w:rsid w:val="005568EB"/>
    <w:rsid w:val="00556D50"/>
    <w:rsid w:val="005579ED"/>
    <w:rsid w:val="00557E01"/>
    <w:rsid w:val="00560719"/>
    <w:rsid w:val="00560C10"/>
    <w:rsid w:val="0056684D"/>
    <w:rsid w:val="00567A84"/>
    <w:rsid w:val="005729C4"/>
    <w:rsid w:val="00572B00"/>
    <w:rsid w:val="00572D0A"/>
    <w:rsid w:val="0057389D"/>
    <w:rsid w:val="0057638C"/>
    <w:rsid w:val="0058048D"/>
    <w:rsid w:val="005814D6"/>
    <w:rsid w:val="00582C7A"/>
    <w:rsid w:val="00584891"/>
    <w:rsid w:val="005863E1"/>
    <w:rsid w:val="0058721F"/>
    <w:rsid w:val="00591B43"/>
    <w:rsid w:val="00591E3B"/>
    <w:rsid w:val="00592331"/>
    <w:rsid w:val="00594069"/>
    <w:rsid w:val="00597199"/>
    <w:rsid w:val="005A0541"/>
    <w:rsid w:val="005A2134"/>
    <w:rsid w:val="005A323A"/>
    <w:rsid w:val="005A704E"/>
    <w:rsid w:val="005A76B8"/>
    <w:rsid w:val="005A7778"/>
    <w:rsid w:val="005B18C5"/>
    <w:rsid w:val="005B3C71"/>
    <w:rsid w:val="005B7764"/>
    <w:rsid w:val="005C1566"/>
    <w:rsid w:val="005C166A"/>
    <w:rsid w:val="005C2D49"/>
    <w:rsid w:val="005C3675"/>
    <w:rsid w:val="005C4A92"/>
    <w:rsid w:val="005C5CDD"/>
    <w:rsid w:val="005C5E34"/>
    <w:rsid w:val="005C688F"/>
    <w:rsid w:val="005C6CBC"/>
    <w:rsid w:val="005C7E26"/>
    <w:rsid w:val="005C7E48"/>
    <w:rsid w:val="005C7FD5"/>
    <w:rsid w:val="005D3695"/>
    <w:rsid w:val="005D3C73"/>
    <w:rsid w:val="005D628D"/>
    <w:rsid w:val="005D675A"/>
    <w:rsid w:val="005D6F98"/>
    <w:rsid w:val="005D7E75"/>
    <w:rsid w:val="005E06D0"/>
    <w:rsid w:val="005E5656"/>
    <w:rsid w:val="005E5851"/>
    <w:rsid w:val="005E629D"/>
    <w:rsid w:val="005E751E"/>
    <w:rsid w:val="005F0486"/>
    <w:rsid w:val="005F0A61"/>
    <w:rsid w:val="005F1D06"/>
    <w:rsid w:val="005F1D23"/>
    <w:rsid w:val="005F3C1E"/>
    <w:rsid w:val="005F4316"/>
    <w:rsid w:val="005F5D3D"/>
    <w:rsid w:val="005F6DA8"/>
    <w:rsid w:val="00601873"/>
    <w:rsid w:val="00601DAB"/>
    <w:rsid w:val="0060491D"/>
    <w:rsid w:val="00605FD1"/>
    <w:rsid w:val="006076AB"/>
    <w:rsid w:val="00610A17"/>
    <w:rsid w:val="006122E5"/>
    <w:rsid w:val="00613190"/>
    <w:rsid w:val="00613BA0"/>
    <w:rsid w:val="00613D01"/>
    <w:rsid w:val="006172C7"/>
    <w:rsid w:val="00620532"/>
    <w:rsid w:val="00620F5E"/>
    <w:rsid w:val="0062705C"/>
    <w:rsid w:val="00631C57"/>
    <w:rsid w:val="00632465"/>
    <w:rsid w:val="00640DD1"/>
    <w:rsid w:val="006431E0"/>
    <w:rsid w:val="006446E9"/>
    <w:rsid w:val="006522FB"/>
    <w:rsid w:val="00653ADB"/>
    <w:rsid w:val="0065526B"/>
    <w:rsid w:val="006657DE"/>
    <w:rsid w:val="006706A8"/>
    <w:rsid w:val="006730EF"/>
    <w:rsid w:val="00675926"/>
    <w:rsid w:val="00675C53"/>
    <w:rsid w:val="00676788"/>
    <w:rsid w:val="00681623"/>
    <w:rsid w:val="00684EF2"/>
    <w:rsid w:val="00686533"/>
    <w:rsid w:val="0068694C"/>
    <w:rsid w:val="0069326F"/>
    <w:rsid w:val="00693510"/>
    <w:rsid w:val="00694E67"/>
    <w:rsid w:val="0069521A"/>
    <w:rsid w:val="00696C19"/>
    <w:rsid w:val="0069751D"/>
    <w:rsid w:val="006A1510"/>
    <w:rsid w:val="006A4825"/>
    <w:rsid w:val="006A4B24"/>
    <w:rsid w:val="006B64FF"/>
    <w:rsid w:val="006B6E7D"/>
    <w:rsid w:val="006C220F"/>
    <w:rsid w:val="006C294E"/>
    <w:rsid w:val="006C7368"/>
    <w:rsid w:val="006C7EEF"/>
    <w:rsid w:val="006D13E3"/>
    <w:rsid w:val="006D2103"/>
    <w:rsid w:val="006D35D3"/>
    <w:rsid w:val="006D493D"/>
    <w:rsid w:val="006D4E74"/>
    <w:rsid w:val="006D50B3"/>
    <w:rsid w:val="006D5A89"/>
    <w:rsid w:val="006D5B73"/>
    <w:rsid w:val="006D5CB6"/>
    <w:rsid w:val="006D5EF8"/>
    <w:rsid w:val="006E0ED3"/>
    <w:rsid w:val="006E2070"/>
    <w:rsid w:val="006E3A74"/>
    <w:rsid w:val="006E4057"/>
    <w:rsid w:val="006E4B20"/>
    <w:rsid w:val="006F0469"/>
    <w:rsid w:val="006F1632"/>
    <w:rsid w:val="006F215A"/>
    <w:rsid w:val="006F32A4"/>
    <w:rsid w:val="006F358B"/>
    <w:rsid w:val="006F4023"/>
    <w:rsid w:val="006F79D2"/>
    <w:rsid w:val="00701273"/>
    <w:rsid w:val="00702EE7"/>
    <w:rsid w:val="00704591"/>
    <w:rsid w:val="0070486A"/>
    <w:rsid w:val="00707BE4"/>
    <w:rsid w:val="00710997"/>
    <w:rsid w:val="00712D15"/>
    <w:rsid w:val="00714767"/>
    <w:rsid w:val="00714FC9"/>
    <w:rsid w:val="007153F1"/>
    <w:rsid w:val="00715759"/>
    <w:rsid w:val="007228DD"/>
    <w:rsid w:val="007245C0"/>
    <w:rsid w:val="00725BDB"/>
    <w:rsid w:val="0072605C"/>
    <w:rsid w:val="00727B58"/>
    <w:rsid w:val="00730873"/>
    <w:rsid w:val="00732F03"/>
    <w:rsid w:val="00733633"/>
    <w:rsid w:val="00733CA5"/>
    <w:rsid w:val="007371DE"/>
    <w:rsid w:val="00741143"/>
    <w:rsid w:val="0074126B"/>
    <w:rsid w:val="00741420"/>
    <w:rsid w:val="0074414E"/>
    <w:rsid w:val="00744341"/>
    <w:rsid w:val="007455CB"/>
    <w:rsid w:val="00745974"/>
    <w:rsid w:val="007505E0"/>
    <w:rsid w:val="00751831"/>
    <w:rsid w:val="00756168"/>
    <w:rsid w:val="00756E96"/>
    <w:rsid w:val="00760502"/>
    <w:rsid w:val="00760B56"/>
    <w:rsid w:val="007621CD"/>
    <w:rsid w:val="00762D2F"/>
    <w:rsid w:val="007630AD"/>
    <w:rsid w:val="00764419"/>
    <w:rsid w:val="00764C55"/>
    <w:rsid w:val="007655A0"/>
    <w:rsid w:val="007662CF"/>
    <w:rsid w:val="00766C18"/>
    <w:rsid w:val="0076797C"/>
    <w:rsid w:val="007739FF"/>
    <w:rsid w:val="007742A2"/>
    <w:rsid w:val="00781CE7"/>
    <w:rsid w:val="007836C4"/>
    <w:rsid w:val="00783F34"/>
    <w:rsid w:val="00784494"/>
    <w:rsid w:val="00784590"/>
    <w:rsid w:val="00784C5A"/>
    <w:rsid w:val="00784E93"/>
    <w:rsid w:val="007903C0"/>
    <w:rsid w:val="00791768"/>
    <w:rsid w:val="00792E45"/>
    <w:rsid w:val="00793151"/>
    <w:rsid w:val="00793655"/>
    <w:rsid w:val="007A381B"/>
    <w:rsid w:val="007A43FF"/>
    <w:rsid w:val="007A6416"/>
    <w:rsid w:val="007A75A0"/>
    <w:rsid w:val="007B3756"/>
    <w:rsid w:val="007B44C3"/>
    <w:rsid w:val="007B4834"/>
    <w:rsid w:val="007C0C41"/>
    <w:rsid w:val="007C0C90"/>
    <w:rsid w:val="007C1672"/>
    <w:rsid w:val="007C4AC4"/>
    <w:rsid w:val="007C5F73"/>
    <w:rsid w:val="007D149F"/>
    <w:rsid w:val="007D2425"/>
    <w:rsid w:val="007D48F4"/>
    <w:rsid w:val="007E11DA"/>
    <w:rsid w:val="007E13C8"/>
    <w:rsid w:val="007E17F0"/>
    <w:rsid w:val="007E2D6E"/>
    <w:rsid w:val="007E38C9"/>
    <w:rsid w:val="007E4A07"/>
    <w:rsid w:val="007E73B4"/>
    <w:rsid w:val="007F0BE4"/>
    <w:rsid w:val="007F2A78"/>
    <w:rsid w:val="007F322D"/>
    <w:rsid w:val="007F3E43"/>
    <w:rsid w:val="007F4690"/>
    <w:rsid w:val="007F6322"/>
    <w:rsid w:val="007F73FF"/>
    <w:rsid w:val="00804E12"/>
    <w:rsid w:val="0080766A"/>
    <w:rsid w:val="00811B96"/>
    <w:rsid w:val="00812019"/>
    <w:rsid w:val="008135A0"/>
    <w:rsid w:val="008167D1"/>
    <w:rsid w:val="0082182A"/>
    <w:rsid w:val="008218C6"/>
    <w:rsid w:val="008220C4"/>
    <w:rsid w:val="00822DCA"/>
    <w:rsid w:val="00823F19"/>
    <w:rsid w:val="008248CE"/>
    <w:rsid w:val="0082617A"/>
    <w:rsid w:val="008318C3"/>
    <w:rsid w:val="00831B55"/>
    <w:rsid w:val="008320C8"/>
    <w:rsid w:val="0083210C"/>
    <w:rsid w:val="00835960"/>
    <w:rsid w:val="00836A49"/>
    <w:rsid w:val="00836F9D"/>
    <w:rsid w:val="00837884"/>
    <w:rsid w:val="00840106"/>
    <w:rsid w:val="00840B05"/>
    <w:rsid w:val="00843171"/>
    <w:rsid w:val="008455D8"/>
    <w:rsid w:val="008466CA"/>
    <w:rsid w:val="008469EC"/>
    <w:rsid w:val="00850409"/>
    <w:rsid w:val="008516D3"/>
    <w:rsid w:val="00863A79"/>
    <w:rsid w:val="00864BC3"/>
    <w:rsid w:val="00866D54"/>
    <w:rsid w:val="008671C1"/>
    <w:rsid w:val="0086788C"/>
    <w:rsid w:val="008706C9"/>
    <w:rsid w:val="0087198A"/>
    <w:rsid w:val="008754E0"/>
    <w:rsid w:val="00881AB2"/>
    <w:rsid w:val="0088261D"/>
    <w:rsid w:val="008828F2"/>
    <w:rsid w:val="00882FAE"/>
    <w:rsid w:val="008872BA"/>
    <w:rsid w:val="0088757D"/>
    <w:rsid w:val="00887587"/>
    <w:rsid w:val="00887E02"/>
    <w:rsid w:val="0089250F"/>
    <w:rsid w:val="00892C3F"/>
    <w:rsid w:val="00894DDB"/>
    <w:rsid w:val="0089556C"/>
    <w:rsid w:val="00897C0E"/>
    <w:rsid w:val="008A2A6F"/>
    <w:rsid w:val="008A3074"/>
    <w:rsid w:val="008A3374"/>
    <w:rsid w:val="008A41E2"/>
    <w:rsid w:val="008A4478"/>
    <w:rsid w:val="008A4D21"/>
    <w:rsid w:val="008A6C15"/>
    <w:rsid w:val="008B1805"/>
    <w:rsid w:val="008B3015"/>
    <w:rsid w:val="008B4CB2"/>
    <w:rsid w:val="008B50BF"/>
    <w:rsid w:val="008C6707"/>
    <w:rsid w:val="008C7ACF"/>
    <w:rsid w:val="008C7E44"/>
    <w:rsid w:val="008D2271"/>
    <w:rsid w:val="008D31A3"/>
    <w:rsid w:val="008D73ED"/>
    <w:rsid w:val="008D7ACB"/>
    <w:rsid w:val="008E1458"/>
    <w:rsid w:val="008E16CC"/>
    <w:rsid w:val="008E424F"/>
    <w:rsid w:val="008E577A"/>
    <w:rsid w:val="008E5F05"/>
    <w:rsid w:val="008E776F"/>
    <w:rsid w:val="008F3D9F"/>
    <w:rsid w:val="008F6892"/>
    <w:rsid w:val="008F68CB"/>
    <w:rsid w:val="008F691F"/>
    <w:rsid w:val="00900508"/>
    <w:rsid w:val="00901310"/>
    <w:rsid w:val="00902E2D"/>
    <w:rsid w:val="0090491C"/>
    <w:rsid w:val="00905786"/>
    <w:rsid w:val="0090628D"/>
    <w:rsid w:val="00911519"/>
    <w:rsid w:val="009121A6"/>
    <w:rsid w:val="009133CD"/>
    <w:rsid w:val="00914241"/>
    <w:rsid w:val="0092071F"/>
    <w:rsid w:val="00921EAA"/>
    <w:rsid w:val="00922554"/>
    <w:rsid w:val="009232B2"/>
    <w:rsid w:val="0093054B"/>
    <w:rsid w:val="00930A87"/>
    <w:rsid w:val="009318CD"/>
    <w:rsid w:val="00932918"/>
    <w:rsid w:val="00934D63"/>
    <w:rsid w:val="00935051"/>
    <w:rsid w:val="009366AB"/>
    <w:rsid w:val="00936D24"/>
    <w:rsid w:val="009407C7"/>
    <w:rsid w:val="00941001"/>
    <w:rsid w:val="00941E82"/>
    <w:rsid w:val="00943D14"/>
    <w:rsid w:val="00943E24"/>
    <w:rsid w:val="00944FF2"/>
    <w:rsid w:val="00947D60"/>
    <w:rsid w:val="009504E4"/>
    <w:rsid w:val="00951049"/>
    <w:rsid w:val="00951440"/>
    <w:rsid w:val="00951A8C"/>
    <w:rsid w:val="00956D34"/>
    <w:rsid w:val="00964643"/>
    <w:rsid w:val="00965CE8"/>
    <w:rsid w:val="00970375"/>
    <w:rsid w:val="00970A47"/>
    <w:rsid w:val="00971F54"/>
    <w:rsid w:val="00973959"/>
    <w:rsid w:val="009747B2"/>
    <w:rsid w:val="00975D89"/>
    <w:rsid w:val="009761F9"/>
    <w:rsid w:val="009763CB"/>
    <w:rsid w:val="00976DE6"/>
    <w:rsid w:val="009820FF"/>
    <w:rsid w:val="0098255B"/>
    <w:rsid w:val="009826A7"/>
    <w:rsid w:val="009862DF"/>
    <w:rsid w:val="00986CB7"/>
    <w:rsid w:val="009876B5"/>
    <w:rsid w:val="0099170A"/>
    <w:rsid w:val="009917DF"/>
    <w:rsid w:val="00995764"/>
    <w:rsid w:val="00996150"/>
    <w:rsid w:val="00996B4E"/>
    <w:rsid w:val="009977B6"/>
    <w:rsid w:val="009979C7"/>
    <w:rsid w:val="00997F75"/>
    <w:rsid w:val="009A0A6E"/>
    <w:rsid w:val="009A15E5"/>
    <w:rsid w:val="009A24EA"/>
    <w:rsid w:val="009A25DE"/>
    <w:rsid w:val="009A65B1"/>
    <w:rsid w:val="009A7AA6"/>
    <w:rsid w:val="009B0762"/>
    <w:rsid w:val="009B1350"/>
    <w:rsid w:val="009B1908"/>
    <w:rsid w:val="009B1B03"/>
    <w:rsid w:val="009B5DA5"/>
    <w:rsid w:val="009B70C4"/>
    <w:rsid w:val="009C0837"/>
    <w:rsid w:val="009C1439"/>
    <w:rsid w:val="009C4332"/>
    <w:rsid w:val="009C4B73"/>
    <w:rsid w:val="009D1FF2"/>
    <w:rsid w:val="009D4C8C"/>
    <w:rsid w:val="009D6513"/>
    <w:rsid w:val="009D6942"/>
    <w:rsid w:val="009E0620"/>
    <w:rsid w:val="009E16C2"/>
    <w:rsid w:val="009E1F9D"/>
    <w:rsid w:val="009E59A2"/>
    <w:rsid w:val="009E7803"/>
    <w:rsid w:val="009F037D"/>
    <w:rsid w:val="009F0D87"/>
    <w:rsid w:val="009F0F79"/>
    <w:rsid w:val="009F21B1"/>
    <w:rsid w:val="009F23D8"/>
    <w:rsid w:val="009F36F6"/>
    <w:rsid w:val="009F714D"/>
    <w:rsid w:val="00A01837"/>
    <w:rsid w:val="00A0225E"/>
    <w:rsid w:val="00A03C84"/>
    <w:rsid w:val="00A04999"/>
    <w:rsid w:val="00A04B07"/>
    <w:rsid w:val="00A10578"/>
    <w:rsid w:val="00A108E2"/>
    <w:rsid w:val="00A110E4"/>
    <w:rsid w:val="00A11762"/>
    <w:rsid w:val="00A14DE7"/>
    <w:rsid w:val="00A150BB"/>
    <w:rsid w:val="00A1566A"/>
    <w:rsid w:val="00A159AF"/>
    <w:rsid w:val="00A16284"/>
    <w:rsid w:val="00A167DB"/>
    <w:rsid w:val="00A20ACC"/>
    <w:rsid w:val="00A20B66"/>
    <w:rsid w:val="00A227AD"/>
    <w:rsid w:val="00A241C5"/>
    <w:rsid w:val="00A25ED6"/>
    <w:rsid w:val="00A2727F"/>
    <w:rsid w:val="00A27FA9"/>
    <w:rsid w:val="00A335C4"/>
    <w:rsid w:val="00A33995"/>
    <w:rsid w:val="00A340B3"/>
    <w:rsid w:val="00A352E6"/>
    <w:rsid w:val="00A362F4"/>
    <w:rsid w:val="00A373E3"/>
    <w:rsid w:val="00A41C25"/>
    <w:rsid w:val="00A441B4"/>
    <w:rsid w:val="00A44E58"/>
    <w:rsid w:val="00A478FB"/>
    <w:rsid w:val="00A5008F"/>
    <w:rsid w:val="00A51345"/>
    <w:rsid w:val="00A534D1"/>
    <w:rsid w:val="00A53808"/>
    <w:rsid w:val="00A538C5"/>
    <w:rsid w:val="00A56D95"/>
    <w:rsid w:val="00A575DA"/>
    <w:rsid w:val="00A60A30"/>
    <w:rsid w:val="00A61890"/>
    <w:rsid w:val="00A61A1C"/>
    <w:rsid w:val="00A61C67"/>
    <w:rsid w:val="00A62943"/>
    <w:rsid w:val="00A651FE"/>
    <w:rsid w:val="00A66A25"/>
    <w:rsid w:val="00A66AA4"/>
    <w:rsid w:val="00A66D87"/>
    <w:rsid w:val="00A71249"/>
    <w:rsid w:val="00A724F7"/>
    <w:rsid w:val="00A72695"/>
    <w:rsid w:val="00A75487"/>
    <w:rsid w:val="00A75FEA"/>
    <w:rsid w:val="00A844F2"/>
    <w:rsid w:val="00A84ED1"/>
    <w:rsid w:val="00A86FFA"/>
    <w:rsid w:val="00A87096"/>
    <w:rsid w:val="00A92B3A"/>
    <w:rsid w:val="00A93BA8"/>
    <w:rsid w:val="00A93E9F"/>
    <w:rsid w:val="00A94643"/>
    <w:rsid w:val="00A95A0C"/>
    <w:rsid w:val="00A95B15"/>
    <w:rsid w:val="00A964F7"/>
    <w:rsid w:val="00AA1944"/>
    <w:rsid w:val="00AA1C23"/>
    <w:rsid w:val="00AA25FA"/>
    <w:rsid w:val="00AA2F85"/>
    <w:rsid w:val="00AA3986"/>
    <w:rsid w:val="00AA6CA5"/>
    <w:rsid w:val="00AB012A"/>
    <w:rsid w:val="00AB05CE"/>
    <w:rsid w:val="00AB1B36"/>
    <w:rsid w:val="00AB540E"/>
    <w:rsid w:val="00AB7E43"/>
    <w:rsid w:val="00AC09C6"/>
    <w:rsid w:val="00AC2510"/>
    <w:rsid w:val="00AC3104"/>
    <w:rsid w:val="00AC66E0"/>
    <w:rsid w:val="00AC6B11"/>
    <w:rsid w:val="00AD0532"/>
    <w:rsid w:val="00AD2560"/>
    <w:rsid w:val="00AD36B1"/>
    <w:rsid w:val="00AD397F"/>
    <w:rsid w:val="00AD5EDF"/>
    <w:rsid w:val="00AD6774"/>
    <w:rsid w:val="00AD6A07"/>
    <w:rsid w:val="00AD6AF5"/>
    <w:rsid w:val="00AD6CBA"/>
    <w:rsid w:val="00AE00AE"/>
    <w:rsid w:val="00AE05B8"/>
    <w:rsid w:val="00AE0A20"/>
    <w:rsid w:val="00AE28B5"/>
    <w:rsid w:val="00AE7139"/>
    <w:rsid w:val="00AF1674"/>
    <w:rsid w:val="00AF2365"/>
    <w:rsid w:val="00AF36CC"/>
    <w:rsid w:val="00AF7016"/>
    <w:rsid w:val="00AF72B4"/>
    <w:rsid w:val="00B00417"/>
    <w:rsid w:val="00B01483"/>
    <w:rsid w:val="00B07719"/>
    <w:rsid w:val="00B07AE9"/>
    <w:rsid w:val="00B114A2"/>
    <w:rsid w:val="00B119AB"/>
    <w:rsid w:val="00B14148"/>
    <w:rsid w:val="00B20412"/>
    <w:rsid w:val="00B2124D"/>
    <w:rsid w:val="00B21D9E"/>
    <w:rsid w:val="00B224EA"/>
    <w:rsid w:val="00B241CD"/>
    <w:rsid w:val="00B243B5"/>
    <w:rsid w:val="00B24EF6"/>
    <w:rsid w:val="00B273D5"/>
    <w:rsid w:val="00B3012D"/>
    <w:rsid w:val="00B30184"/>
    <w:rsid w:val="00B30E8F"/>
    <w:rsid w:val="00B314F0"/>
    <w:rsid w:val="00B31559"/>
    <w:rsid w:val="00B34B09"/>
    <w:rsid w:val="00B37366"/>
    <w:rsid w:val="00B40324"/>
    <w:rsid w:val="00B40F25"/>
    <w:rsid w:val="00B43721"/>
    <w:rsid w:val="00B44B14"/>
    <w:rsid w:val="00B44B96"/>
    <w:rsid w:val="00B46B00"/>
    <w:rsid w:val="00B520C4"/>
    <w:rsid w:val="00B52992"/>
    <w:rsid w:val="00B52FBA"/>
    <w:rsid w:val="00B535B7"/>
    <w:rsid w:val="00B5528C"/>
    <w:rsid w:val="00B55805"/>
    <w:rsid w:val="00B5604C"/>
    <w:rsid w:val="00B605B5"/>
    <w:rsid w:val="00B61709"/>
    <w:rsid w:val="00B61D22"/>
    <w:rsid w:val="00B630A5"/>
    <w:rsid w:val="00B6424A"/>
    <w:rsid w:val="00B64F89"/>
    <w:rsid w:val="00B64FB8"/>
    <w:rsid w:val="00B73009"/>
    <w:rsid w:val="00B74D7F"/>
    <w:rsid w:val="00B7522A"/>
    <w:rsid w:val="00B8334E"/>
    <w:rsid w:val="00B84273"/>
    <w:rsid w:val="00B85DBF"/>
    <w:rsid w:val="00B86B23"/>
    <w:rsid w:val="00B87EF5"/>
    <w:rsid w:val="00B90D56"/>
    <w:rsid w:val="00B917C8"/>
    <w:rsid w:val="00B91D68"/>
    <w:rsid w:val="00B925DE"/>
    <w:rsid w:val="00B96162"/>
    <w:rsid w:val="00B9622B"/>
    <w:rsid w:val="00BA0869"/>
    <w:rsid w:val="00BB10BC"/>
    <w:rsid w:val="00BB24EA"/>
    <w:rsid w:val="00BB26D2"/>
    <w:rsid w:val="00BB2894"/>
    <w:rsid w:val="00BB3028"/>
    <w:rsid w:val="00BB5CDC"/>
    <w:rsid w:val="00BC0A78"/>
    <w:rsid w:val="00BC1BE2"/>
    <w:rsid w:val="00BC1E82"/>
    <w:rsid w:val="00BC6A88"/>
    <w:rsid w:val="00BC70B2"/>
    <w:rsid w:val="00BC7C69"/>
    <w:rsid w:val="00BD2875"/>
    <w:rsid w:val="00BD2999"/>
    <w:rsid w:val="00BD2B5A"/>
    <w:rsid w:val="00BD2DC0"/>
    <w:rsid w:val="00BD40D9"/>
    <w:rsid w:val="00BD4A2B"/>
    <w:rsid w:val="00BD52B4"/>
    <w:rsid w:val="00BD790A"/>
    <w:rsid w:val="00BE16E5"/>
    <w:rsid w:val="00BE1B5E"/>
    <w:rsid w:val="00BE1EE9"/>
    <w:rsid w:val="00BE2F8D"/>
    <w:rsid w:val="00BE5696"/>
    <w:rsid w:val="00BF24E6"/>
    <w:rsid w:val="00BF25FD"/>
    <w:rsid w:val="00BF3C48"/>
    <w:rsid w:val="00BF61D6"/>
    <w:rsid w:val="00BF6984"/>
    <w:rsid w:val="00BF7C2E"/>
    <w:rsid w:val="00C01282"/>
    <w:rsid w:val="00C047BE"/>
    <w:rsid w:val="00C07854"/>
    <w:rsid w:val="00C10B68"/>
    <w:rsid w:val="00C11C02"/>
    <w:rsid w:val="00C1334D"/>
    <w:rsid w:val="00C167F0"/>
    <w:rsid w:val="00C17743"/>
    <w:rsid w:val="00C23DC1"/>
    <w:rsid w:val="00C247E0"/>
    <w:rsid w:val="00C24BB9"/>
    <w:rsid w:val="00C24FB7"/>
    <w:rsid w:val="00C250E8"/>
    <w:rsid w:val="00C25DF8"/>
    <w:rsid w:val="00C2629E"/>
    <w:rsid w:val="00C272FD"/>
    <w:rsid w:val="00C3184F"/>
    <w:rsid w:val="00C32DB4"/>
    <w:rsid w:val="00C33825"/>
    <w:rsid w:val="00C34B92"/>
    <w:rsid w:val="00C41E91"/>
    <w:rsid w:val="00C4532A"/>
    <w:rsid w:val="00C4692A"/>
    <w:rsid w:val="00C4692C"/>
    <w:rsid w:val="00C47523"/>
    <w:rsid w:val="00C50F12"/>
    <w:rsid w:val="00C51958"/>
    <w:rsid w:val="00C51F4F"/>
    <w:rsid w:val="00C53638"/>
    <w:rsid w:val="00C567B3"/>
    <w:rsid w:val="00C568F8"/>
    <w:rsid w:val="00C57232"/>
    <w:rsid w:val="00C57941"/>
    <w:rsid w:val="00C631B6"/>
    <w:rsid w:val="00C67120"/>
    <w:rsid w:val="00C67144"/>
    <w:rsid w:val="00C710C6"/>
    <w:rsid w:val="00C7406D"/>
    <w:rsid w:val="00C75949"/>
    <w:rsid w:val="00C77E18"/>
    <w:rsid w:val="00C819FF"/>
    <w:rsid w:val="00C82120"/>
    <w:rsid w:val="00C8365E"/>
    <w:rsid w:val="00C8595A"/>
    <w:rsid w:val="00C92074"/>
    <w:rsid w:val="00C955E0"/>
    <w:rsid w:val="00C95B5B"/>
    <w:rsid w:val="00C95CD1"/>
    <w:rsid w:val="00CA02C4"/>
    <w:rsid w:val="00CA36B5"/>
    <w:rsid w:val="00CA4979"/>
    <w:rsid w:val="00CA49C5"/>
    <w:rsid w:val="00CA4EBD"/>
    <w:rsid w:val="00CB0D4E"/>
    <w:rsid w:val="00CB0F14"/>
    <w:rsid w:val="00CB16A8"/>
    <w:rsid w:val="00CB63EB"/>
    <w:rsid w:val="00CB672F"/>
    <w:rsid w:val="00CB6B5F"/>
    <w:rsid w:val="00CC308D"/>
    <w:rsid w:val="00CC38AF"/>
    <w:rsid w:val="00CC46FD"/>
    <w:rsid w:val="00CC50CC"/>
    <w:rsid w:val="00CC7227"/>
    <w:rsid w:val="00CC742A"/>
    <w:rsid w:val="00CD38F1"/>
    <w:rsid w:val="00CE3992"/>
    <w:rsid w:val="00CE4237"/>
    <w:rsid w:val="00CE42D7"/>
    <w:rsid w:val="00CF26DA"/>
    <w:rsid w:val="00CF7435"/>
    <w:rsid w:val="00D0020E"/>
    <w:rsid w:val="00D01FBD"/>
    <w:rsid w:val="00D032CB"/>
    <w:rsid w:val="00D03FF3"/>
    <w:rsid w:val="00D06BF5"/>
    <w:rsid w:val="00D10957"/>
    <w:rsid w:val="00D11122"/>
    <w:rsid w:val="00D12259"/>
    <w:rsid w:val="00D129E4"/>
    <w:rsid w:val="00D15F21"/>
    <w:rsid w:val="00D16561"/>
    <w:rsid w:val="00D16A9E"/>
    <w:rsid w:val="00D20554"/>
    <w:rsid w:val="00D21C92"/>
    <w:rsid w:val="00D21D4E"/>
    <w:rsid w:val="00D22001"/>
    <w:rsid w:val="00D22381"/>
    <w:rsid w:val="00D27861"/>
    <w:rsid w:val="00D330A0"/>
    <w:rsid w:val="00D3660E"/>
    <w:rsid w:val="00D37086"/>
    <w:rsid w:val="00D376AA"/>
    <w:rsid w:val="00D40589"/>
    <w:rsid w:val="00D433AC"/>
    <w:rsid w:val="00D454FF"/>
    <w:rsid w:val="00D46EB0"/>
    <w:rsid w:val="00D5112C"/>
    <w:rsid w:val="00D54536"/>
    <w:rsid w:val="00D55524"/>
    <w:rsid w:val="00D560C0"/>
    <w:rsid w:val="00D56694"/>
    <w:rsid w:val="00D56B0B"/>
    <w:rsid w:val="00D57F4B"/>
    <w:rsid w:val="00D605CC"/>
    <w:rsid w:val="00D6106D"/>
    <w:rsid w:val="00D61587"/>
    <w:rsid w:val="00D6204C"/>
    <w:rsid w:val="00D62A56"/>
    <w:rsid w:val="00D67AB5"/>
    <w:rsid w:val="00D67D89"/>
    <w:rsid w:val="00D71AD9"/>
    <w:rsid w:val="00D750BC"/>
    <w:rsid w:val="00D7584C"/>
    <w:rsid w:val="00D80A21"/>
    <w:rsid w:val="00D81D3B"/>
    <w:rsid w:val="00D82A12"/>
    <w:rsid w:val="00D82E92"/>
    <w:rsid w:val="00D83AAB"/>
    <w:rsid w:val="00D86840"/>
    <w:rsid w:val="00D9092C"/>
    <w:rsid w:val="00D9112B"/>
    <w:rsid w:val="00D91909"/>
    <w:rsid w:val="00D94694"/>
    <w:rsid w:val="00DA269D"/>
    <w:rsid w:val="00DA3CA1"/>
    <w:rsid w:val="00DA4B04"/>
    <w:rsid w:val="00DA57C4"/>
    <w:rsid w:val="00DA653F"/>
    <w:rsid w:val="00DA7380"/>
    <w:rsid w:val="00DA7F4C"/>
    <w:rsid w:val="00DB043D"/>
    <w:rsid w:val="00DB1738"/>
    <w:rsid w:val="00DB287F"/>
    <w:rsid w:val="00DB3058"/>
    <w:rsid w:val="00DB3717"/>
    <w:rsid w:val="00DB6849"/>
    <w:rsid w:val="00DB717D"/>
    <w:rsid w:val="00DB7B15"/>
    <w:rsid w:val="00DC0A5A"/>
    <w:rsid w:val="00DC1461"/>
    <w:rsid w:val="00DC171B"/>
    <w:rsid w:val="00DC2655"/>
    <w:rsid w:val="00DC29D5"/>
    <w:rsid w:val="00DC58E1"/>
    <w:rsid w:val="00DC5FD6"/>
    <w:rsid w:val="00DD300B"/>
    <w:rsid w:val="00DD306C"/>
    <w:rsid w:val="00DD3BB3"/>
    <w:rsid w:val="00DD5F8F"/>
    <w:rsid w:val="00DE247E"/>
    <w:rsid w:val="00DE4F53"/>
    <w:rsid w:val="00DF04DA"/>
    <w:rsid w:val="00DF2707"/>
    <w:rsid w:val="00DF5453"/>
    <w:rsid w:val="00DF54EE"/>
    <w:rsid w:val="00DF60B7"/>
    <w:rsid w:val="00DF64BD"/>
    <w:rsid w:val="00E0092E"/>
    <w:rsid w:val="00E01635"/>
    <w:rsid w:val="00E016FA"/>
    <w:rsid w:val="00E04A64"/>
    <w:rsid w:val="00E05718"/>
    <w:rsid w:val="00E05B6C"/>
    <w:rsid w:val="00E075E4"/>
    <w:rsid w:val="00E079B5"/>
    <w:rsid w:val="00E07B7A"/>
    <w:rsid w:val="00E101C4"/>
    <w:rsid w:val="00E1028C"/>
    <w:rsid w:val="00E108E1"/>
    <w:rsid w:val="00E13463"/>
    <w:rsid w:val="00E1358B"/>
    <w:rsid w:val="00E13F37"/>
    <w:rsid w:val="00E1529F"/>
    <w:rsid w:val="00E17812"/>
    <w:rsid w:val="00E21ADE"/>
    <w:rsid w:val="00E22D8E"/>
    <w:rsid w:val="00E250DB"/>
    <w:rsid w:val="00E27696"/>
    <w:rsid w:val="00E35DE9"/>
    <w:rsid w:val="00E40756"/>
    <w:rsid w:val="00E420BD"/>
    <w:rsid w:val="00E45A2A"/>
    <w:rsid w:val="00E5053F"/>
    <w:rsid w:val="00E50CA4"/>
    <w:rsid w:val="00E50EDB"/>
    <w:rsid w:val="00E51FD6"/>
    <w:rsid w:val="00E53D57"/>
    <w:rsid w:val="00E54527"/>
    <w:rsid w:val="00E55281"/>
    <w:rsid w:val="00E558F0"/>
    <w:rsid w:val="00E55C37"/>
    <w:rsid w:val="00E55E25"/>
    <w:rsid w:val="00E55E84"/>
    <w:rsid w:val="00E5619B"/>
    <w:rsid w:val="00E5678F"/>
    <w:rsid w:val="00E56DE9"/>
    <w:rsid w:val="00E62102"/>
    <w:rsid w:val="00E64F24"/>
    <w:rsid w:val="00E653F5"/>
    <w:rsid w:val="00E738A2"/>
    <w:rsid w:val="00E751A0"/>
    <w:rsid w:val="00E7546D"/>
    <w:rsid w:val="00E76934"/>
    <w:rsid w:val="00E77871"/>
    <w:rsid w:val="00E800CD"/>
    <w:rsid w:val="00E80F29"/>
    <w:rsid w:val="00E812FF"/>
    <w:rsid w:val="00E8533E"/>
    <w:rsid w:val="00E85492"/>
    <w:rsid w:val="00E911CA"/>
    <w:rsid w:val="00E91B8E"/>
    <w:rsid w:val="00E92FCE"/>
    <w:rsid w:val="00E93B61"/>
    <w:rsid w:val="00E95AD5"/>
    <w:rsid w:val="00EA2215"/>
    <w:rsid w:val="00EA4135"/>
    <w:rsid w:val="00EA6DE8"/>
    <w:rsid w:val="00EB0687"/>
    <w:rsid w:val="00EB1CAA"/>
    <w:rsid w:val="00EB32C7"/>
    <w:rsid w:val="00EB68B8"/>
    <w:rsid w:val="00EC4137"/>
    <w:rsid w:val="00EC5DE7"/>
    <w:rsid w:val="00EC6144"/>
    <w:rsid w:val="00ED0CA6"/>
    <w:rsid w:val="00ED37CB"/>
    <w:rsid w:val="00ED559F"/>
    <w:rsid w:val="00ED7758"/>
    <w:rsid w:val="00EE0902"/>
    <w:rsid w:val="00EE13D3"/>
    <w:rsid w:val="00EE18CB"/>
    <w:rsid w:val="00EE19AE"/>
    <w:rsid w:val="00EE26F3"/>
    <w:rsid w:val="00EE5559"/>
    <w:rsid w:val="00EE62CA"/>
    <w:rsid w:val="00EE7CBD"/>
    <w:rsid w:val="00EF0FA5"/>
    <w:rsid w:val="00EF1622"/>
    <w:rsid w:val="00EF33BF"/>
    <w:rsid w:val="00EF47DB"/>
    <w:rsid w:val="00EF488E"/>
    <w:rsid w:val="00EF506E"/>
    <w:rsid w:val="00EF547E"/>
    <w:rsid w:val="00EF5756"/>
    <w:rsid w:val="00EF5AB8"/>
    <w:rsid w:val="00EF5EBC"/>
    <w:rsid w:val="00EF6C33"/>
    <w:rsid w:val="00EF7E22"/>
    <w:rsid w:val="00F00223"/>
    <w:rsid w:val="00F02C1C"/>
    <w:rsid w:val="00F02FE9"/>
    <w:rsid w:val="00F0469A"/>
    <w:rsid w:val="00F063FC"/>
    <w:rsid w:val="00F10442"/>
    <w:rsid w:val="00F109E7"/>
    <w:rsid w:val="00F11396"/>
    <w:rsid w:val="00F12D84"/>
    <w:rsid w:val="00F12E6D"/>
    <w:rsid w:val="00F13464"/>
    <w:rsid w:val="00F13B16"/>
    <w:rsid w:val="00F14119"/>
    <w:rsid w:val="00F177F0"/>
    <w:rsid w:val="00F20E72"/>
    <w:rsid w:val="00F216A8"/>
    <w:rsid w:val="00F230E1"/>
    <w:rsid w:val="00F2384C"/>
    <w:rsid w:val="00F26E5F"/>
    <w:rsid w:val="00F30583"/>
    <w:rsid w:val="00F31687"/>
    <w:rsid w:val="00F326F5"/>
    <w:rsid w:val="00F3450F"/>
    <w:rsid w:val="00F35FBE"/>
    <w:rsid w:val="00F40120"/>
    <w:rsid w:val="00F41C0A"/>
    <w:rsid w:val="00F43559"/>
    <w:rsid w:val="00F449AC"/>
    <w:rsid w:val="00F45456"/>
    <w:rsid w:val="00F45D74"/>
    <w:rsid w:val="00F50728"/>
    <w:rsid w:val="00F507DE"/>
    <w:rsid w:val="00F511D8"/>
    <w:rsid w:val="00F54D82"/>
    <w:rsid w:val="00F56004"/>
    <w:rsid w:val="00F56B2D"/>
    <w:rsid w:val="00F60842"/>
    <w:rsid w:val="00F60AA9"/>
    <w:rsid w:val="00F62B35"/>
    <w:rsid w:val="00F64356"/>
    <w:rsid w:val="00F702F4"/>
    <w:rsid w:val="00F719C3"/>
    <w:rsid w:val="00F73E4F"/>
    <w:rsid w:val="00F8145E"/>
    <w:rsid w:val="00F8189A"/>
    <w:rsid w:val="00F8231A"/>
    <w:rsid w:val="00F8274F"/>
    <w:rsid w:val="00F847EF"/>
    <w:rsid w:val="00F85FF7"/>
    <w:rsid w:val="00F944CF"/>
    <w:rsid w:val="00F94B24"/>
    <w:rsid w:val="00F94EA6"/>
    <w:rsid w:val="00F96DDA"/>
    <w:rsid w:val="00F9773F"/>
    <w:rsid w:val="00FA2CF7"/>
    <w:rsid w:val="00FA4691"/>
    <w:rsid w:val="00FA478F"/>
    <w:rsid w:val="00FA5667"/>
    <w:rsid w:val="00FB00D5"/>
    <w:rsid w:val="00FB076C"/>
    <w:rsid w:val="00FB0B6A"/>
    <w:rsid w:val="00FB156F"/>
    <w:rsid w:val="00FB3BB6"/>
    <w:rsid w:val="00FB5CF2"/>
    <w:rsid w:val="00FB6745"/>
    <w:rsid w:val="00FC0804"/>
    <w:rsid w:val="00FC1F7B"/>
    <w:rsid w:val="00FC261A"/>
    <w:rsid w:val="00FC47FF"/>
    <w:rsid w:val="00FC4FEF"/>
    <w:rsid w:val="00FC6EB7"/>
    <w:rsid w:val="00FD2AB3"/>
    <w:rsid w:val="00FD4BAE"/>
    <w:rsid w:val="00FD700B"/>
    <w:rsid w:val="00FE1A37"/>
    <w:rsid w:val="00FE27AE"/>
    <w:rsid w:val="00FE29C4"/>
    <w:rsid w:val="00FE2E65"/>
    <w:rsid w:val="00FE31C0"/>
    <w:rsid w:val="00FE3F48"/>
    <w:rsid w:val="00FE4A1C"/>
    <w:rsid w:val="00FE4A5E"/>
    <w:rsid w:val="00FE53F8"/>
    <w:rsid w:val="00FE7B88"/>
    <w:rsid w:val="00FE7BF2"/>
    <w:rsid w:val="00FF28DC"/>
    <w:rsid w:val="00FF4A69"/>
    <w:rsid w:val="00FF65B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73"/>
    <o:shapelayout v:ext="edit">
      <o:idmap v:ext="edit" data="1"/>
    </o:shapelayout>
  </w:shapeDefaults>
  <w:decimalSymbol w:val="."/>
  <w:listSeparator w:val=","/>
  <w14:docId w14:val="008E4288"/>
  <w15:chartTrackingRefBased/>
  <w15:docId w15:val="{680CCBA5-6012-4552-ACFF-2A57E55151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0CA4"/>
  </w:style>
  <w:style w:type="paragraph" w:styleId="Heading1">
    <w:name w:val="heading 1"/>
    <w:basedOn w:val="Normal"/>
    <w:next w:val="Normal"/>
    <w:link w:val="Heading1Char"/>
    <w:uiPriority w:val="9"/>
    <w:qFormat/>
    <w:rsid w:val="009E062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510A0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9B1B0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AA1944"/>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510A09"/>
    <w:rPr>
      <w:rFonts w:asciiTheme="majorHAnsi" w:eastAsiaTheme="majorEastAsia" w:hAnsiTheme="majorHAnsi" w:cstheme="majorBidi"/>
      <w:color w:val="2F5496" w:themeColor="accent1" w:themeShade="BF"/>
      <w:sz w:val="26"/>
      <w:szCs w:val="26"/>
    </w:rPr>
  </w:style>
  <w:style w:type="paragraph" w:styleId="Footer">
    <w:name w:val="footer"/>
    <w:basedOn w:val="Normal"/>
    <w:link w:val="FooterChar"/>
    <w:uiPriority w:val="99"/>
    <w:unhideWhenUsed/>
    <w:rsid w:val="00B24EF6"/>
    <w:pPr>
      <w:tabs>
        <w:tab w:val="center" w:pos="4513"/>
        <w:tab w:val="right" w:pos="9026"/>
      </w:tabs>
    </w:pPr>
  </w:style>
  <w:style w:type="character" w:customStyle="1" w:styleId="FooterChar">
    <w:name w:val="Footer Char"/>
    <w:basedOn w:val="DefaultParagraphFont"/>
    <w:link w:val="Footer"/>
    <w:uiPriority w:val="99"/>
    <w:rsid w:val="00B24EF6"/>
  </w:style>
  <w:style w:type="character" w:styleId="PageNumber">
    <w:name w:val="page number"/>
    <w:basedOn w:val="DefaultParagraphFont"/>
    <w:uiPriority w:val="99"/>
    <w:semiHidden/>
    <w:unhideWhenUsed/>
    <w:rsid w:val="00B24EF6"/>
  </w:style>
  <w:style w:type="paragraph" w:styleId="Header">
    <w:name w:val="header"/>
    <w:basedOn w:val="Normal"/>
    <w:link w:val="HeaderChar"/>
    <w:uiPriority w:val="99"/>
    <w:unhideWhenUsed/>
    <w:rsid w:val="00B24EF6"/>
    <w:pPr>
      <w:tabs>
        <w:tab w:val="center" w:pos="4513"/>
        <w:tab w:val="right" w:pos="9026"/>
      </w:tabs>
    </w:pPr>
  </w:style>
  <w:style w:type="character" w:customStyle="1" w:styleId="HeaderChar">
    <w:name w:val="Header Char"/>
    <w:basedOn w:val="DefaultParagraphFont"/>
    <w:link w:val="Header"/>
    <w:uiPriority w:val="99"/>
    <w:rsid w:val="00B24EF6"/>
  </w:style>
  <w:style w:type="paragraph" w:styleId="Subtitle">
    <w:name w:val="Subtitle"/>
    <w:basedOn w:val="Normal"/>
    <w:next w:val="Normal"/>
    <w:link w:val="SubtitleChar"/>
    <w:uiPriority w:val="11"/>
    <w:qFormat/>
    <w:rsid w:val="0041512B"/>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1512B"/>
    <w:rPr>
      <w:rFonts w:eastAsiaTheme="minorEastAsia"/>
      <w:color w:val="5A5A5A" w:themeColor="text1" w:themeTint="A5"/>
      <w:spacing w:val="15"/>
    </w:rPr>
  </w:style>
  <w:style w:type="character" w:styleId="CommentReference">
    <w:name w:val="annotation reference"/>
    <w:basedOn w:val="DefaultParagraphFont"/>
    <w:uiPriority w:val="99"/>
    <w:semiHidden/>
    <w:unhideWhenUsed/>
    <w:rsid w:val="0041512B"/>
    <w:rPr>
      <w:sz w:val="16"/>
      <w:szCs w:val="16"/>
    </w:rPr>
  </w:style>
  <w:style w:type="paragraph" w:styleId="CommentText">
    <w:name w:val="annotation text"/>
    <w:basedOn w:val="Normal"/>
    <w:link w:val="CommentTextChar"/>
    <w:uiPriority w:val="99"/>
    <w:unhideWhenUsed/>
    <w:rsid w:val="0041512B"/>
    <w:pPr>
      <w:suppressAutoHyphens/>
      <w:spacing w:before="120" w:after="60"/>
    </w:pPr>
    <w:rPr>
      <w:color w:val="44546A" w:themeColor="text2"/>
      <w:sz w:val="20"/>
      <w:szCs w:val="20"/>
      <w:lang w:val="en-GB"/>
    </w:rPr>
  </w:style>
  <w:style w:type="character" w:customStyle="1" w:styleId="CommentTextChar">
    <w:name w:val="Comment Text Char"/>
    <w:basedOn w:val="DefaultParagraphFont"/>
    <w:link w:val="CommentText"/>
    <w:uiPriority w:val="99"/>
    <w:rsid w:val="0041512B"/>
    <w:rPr>
      <w:color w:val="44546A" w:themeColor="text2"/>
      <w:sz w:val="20"/>
      <w:szCs w:val="20"/>
      <w:lang w:val="en-GB"/>
    </w:rPr>
  </w:style>
  <w:style w:type="paragraph" w:customStyle="1" w:styleId="Covertitle">
    <w:name w:val="Cover title"/>
    <w:basedOn w:val="Title"/>
    <w:uiPriority w:val="99"/>
    <w:rsid w:val="0041512B"/>
    <w:pPr>
      <w:suppressAutoHyphens/>
      <w:autoSpaceDE w:val="0"/>
      <w:autoSpaceDN w:val="0"/>
      <w:adjustRightInd w:val="0"/>
      <w:spacing w:line="660" w:lineRule="atLeast"/>
      <w:ind w:left="851"/>
      <w:contextualSpacing w:val="0"/>
      <w:textAlignment w:val="center"/>
    </w:pPr>
    <w:rPr>
      <w:rFonts w:ascii="Calibri" w:eastAsiaTheme="minorHAnsi" w:hAnsi="Calibri" w:cs="Calibri"/>
      <w:b/>
      <w:bCs/>
      <w:color w:val="005695"/>
      <w:spacing w:val="0"/>
      <w:kern w:val="0"/>
      <w:sz w:val="58"/>
      <w:szCs w:val="58"/>
      <w:lang w:val="en-GB"/>
    </w:rPr>
  </w:style>
  <w:style w:type="paragraph" w:customStyle="1" w:styleId="Coversubtitle">
    <w:name w:val="Cover subtitle"/>
    <w:basedOn w:val="Normal"/>
    <w:uiPriority w:val="99"/>
    <w:rsid w:val="0041512B"/>
    <w:pPr>
      <w:suppressAutoHyphens/>
      <w:autoSpaceDE w:val="0"/>
      <w:autoSpaceDN w:val="0"/>
      <w:adjustRightInd w:val="0"/>
      <w:spacing w:before="227" w:line="288" w:lineRule="auto"/>
      <w:ind w:left="851"/>
      <w:textAlignment w:val="center"/>
    </w:pPr>
    <w:rPr>
      <w:rFonts w:ascii="Calibri" w:hAnsi="Calibri"/>
      <w:color w:val="AEAAAA" w:themeColor="background2" w:themeShade="BF"/>
      <w:sz w:val="28"/>
      <w:lang w:val="en-GB"/>
    </w:rPr>
  </w:style>
  <w:style w:type="paragraph" w:styleId="Title">
    <w:name w:val="Title"/>
    <w:basedOn w:val="Normal"/>
    <w:next w:val="Normal"/>
    <w:link w:val="TitleChar"/>
    <w:uiPriority w:val="10"/>
    <w:qFormat/>
    <w:rsid w:val="0041512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1512B"/>
    <w:rPr>
      <w:rFonts w:asciiTheme="majorHAnsi" w:eastAsiaTheme="majorEastAsia" w:hAnsiTheme="majorHAnsi" w:cstheme="majorBidi"/>
      <w:spacing w:val="-10"/>
      <w:kern w:val="28"/>
      <w:sz w:val="56"/>
      <w:szCs w:val="56"/>
    </w:rPr>
  </w:style>
  <w:style w:type="paragraph" w:styleId="BalloonText">
    <w:name w:val="Balloon Text"/>
    <w:basedOn w:val="Normal"/>
    <w:link w:val="BalloonTextChar"/>
    <w:uiPriority w:val="99"/>
    <w:semiHidden/>
    <w:unhideWhenUsed/>
    <w:rsid w:val="0041512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1512B"/>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41512B"/>
    <w:pPr>
      <w:suppressAutoHyphens w:val="0"/>
      <w:spacing w:before="0" w:after="0"/>
    </w:pPr>
    <w:rPr>
      <w:b/>
      <w:bCs/>
      <w:color w:val="auto"/>
      <w:lang w:val="en-AU"/>
    </w:rPr>
  </w:style>
  <w:style w:type="character" w:customStyle="1" w:styleId="CommentSubjectChar">
    <w:name w:val="Comment Subject Char"/>
    <w:basedOn w:val="CommentTextChar"/>
    <w:link w:val="CommentSubject"/>
    <w:uiPriority w:val="99"/>
    <w:semiHidden/>
    <w:rsid w:val="0041512B"/>
    <w:rPr>
      <w:b/>
      <w:bCs/>
      <w:color w:val="44546A" w:themeColor="text2"/>
      <w:sz w:val="20"/>
      <w:szCs w:val="20"/>
      <w:lang w:val="en-GB"/>
    </w:rPr>
  </w:style>
  <w:style w:type="paragraph" w:customStyle="1" w:styleId="05BODYTEXT">
    <w:name w:val="05. BODY TEXT"/>
    <w:basedOn w:val="Normal"/>
    <w:uiPriority w:val="99"/>
    <w:rsid w:val="00AF1674"/>
    <w:pPr>
      <w:suppressAutoHyphens/>
      <w:autoSpaceDE w:val="0"/>
      <w:autoSpaceDN w:val="0"/>
      <w:adjustRightInd w:val="0"/>
      <w:spacing w:after="170" w:line="280" w:lineRule="atLeast"/>
      <w:textAlignment w:val="center"/>
    </w:pPr>
    <w:rPr>
      <w:rFonts w:ascii="Adobe Garamond Pro" w:hAnsi="Adobe Garamond Pro" w:cs="Adobe Garamond Pro"/>
      <w:color w:val="000000"/>
      <w:sz w:val="20"/>
      <w:szCs w:val="20"/>
      <w:lang w:val="en-US"/>
    </w:rPr>
  </w:style>
  <w:style w:type="character" w:customStyle="1" w:styleId="ITALIC">
    <w:name w:val="ITALIC"/>
    <w:uiPriority w:val="99"/>
    <w:rsid w:val="00AF1674"/>
    <w:rPr>
      <w:i/>
      <w:iCs/>
    </w:rPr>
  </w:style>
  <w:style w:type="character" w:customStyle="1" w:styleId="BOLD">
    <w:name w:val="BOLD"/>
    <w:uiPriority w:val="99"/>
    <w:rsid w:val="00AF1674"/>
    <w:rPr>
      <w:b/>
      <w:bCs/>
    </w:rPr>
  </w:style>
  <w:style w:type="character" w:styleId="Hyperlink">
    <w:name w:val="Hyperlink"/>
    <w:basedOn w:val="DefaultParagraphFont"/>
    <w:uiPriority w:val="99"/>
    <w:unhideWhenUsed/>
    <w:rsid w:val="00AF1674"/>
    <w:rPr>
      <w:color w:val="0563C1" w:themeColor="hyperlink"/>
      <w:u w:val="single"/>
    </w:rPr>
  </w:style>
  <w:style w:type="character" w:customStyle="1" w:styleId="UnresolvedMention1">
    <w:name w:val="Unresolved Mention1"/>
    <w:basedOn w:val="DefaultParagraphFont"/>
    <w:uiPriority w:val="99"/>
    <w:semiHidden/>
    <w:unhideWhenUsed/>
    <w:rsid w:val="00AF1674"/>
    <w:rPr>
      <w:color w:val="605E5C"/>
      <w:shd w:val="clear" w:color="auto" w:fill="E1DFDD"/>
    </w:rPr>
  </w:style>
  <w:style w:type="character" w:customStyle="1" w:styleId="Heading1Char">
    <w:name w:val="Heading 1 Char"/>
    <w:basedOn w:val="DefaultParagraphFont"/>
    <w:link w:val="Heading1"/>
    <w:uiPriority w:val="9"/>
    <w:rsid w:val="009E0620"/>
    <w:rPr>
      <w:rFonts w:asciiTheme="majorHAnsi" w:eastAsiaTheme="majorEastAsia" w:hAnsiTheme="majorHAnsi" w:cstheme="majorBidi"/>
      <w:color w:val="2F5496" w:themeColor="accent1" w:themeShade="BF"/>
      <w:sz w:val="32"/>
      <w:szCs w:val="32"/>
    </w:rPr>
  </w:style>
  <w:style w:type="paragraph" w:styleId="TOCHeading">
    <w:name w:val="TOC Heading"/>
    <w:basedOn w:val="Normal"/>
    <w:next w:val="Normal"/>
    <w:uiPriority w:val="39"/>
    <w:semiHidden/>
    <w:unhideWhenUsed/>
    <w:qFormat/>
    <w:rsid w:val="009E0620"/>
    <w:pPr>
      <w:keepNext/>
      <w:keepLines/>
      <w:spacing w:before="240" w:after="0"/>
    </w:pPr>
    <w:rPr>
      <w:rFonts w:asciiTheme="majorHAnsi" w:eastAsiaTheme="majorEastAsia" w:hAnsiTheme="majorHAnsi" w:cstheme="majorBidi"/>
      <w:color w:val="2F5496" w:themeColor="accent1" w:themeShade="BF"/>
      <w:sz w:val="32"/>
      <w:szCs w:val="32"/>
    </w:rPr>
  </w:style>
  <w:style w:type="paragraph" w:styleId="TOC1">
    <w:name w:val="toc 1"/>
    <w:basedOn w:val="Normal"/>
    <w:next w:val="Normal"/>
    <w:autoRedefine/>
    <w:uiPriority w:val="39"/>
    <w:unhideWhenUsed/>
    <w:rsid w:val="00A93E9F"/>
    <w:pPr>
      <w:tabs>
        <w:tab w:val="left" w:pos="567"/>
        <w:tab w:val="right" w:leader="dot" w:pos="9060"/>
      </w:tabs>
      <w:spacing w:before="300"/>
    </w:pPr>
    <w:rPr>
      <w:rFonts w:cstheme="minorHAnsi"/>
      <w:b/>
      <w:bCs/>
      <w:iCs/>
      <w:noProof/>
    </w:rPr>
  </w:style>
  <w:style w:type="paragraph" w:styleId="TOC2">
    <w:name w:val="toc 2"/>
    <w:basedOn w:val="Normal"/>
    <w:next w:val="Normal"/>
    <w:autoRedefine/>
    <w:uiPriority w:val="39"/>
    <w:unhideWhenUsed/>
    <w:rsid w:val="000F6D12"/>
    <w:pPr>
      <w:tabs>
        <w:tab w:val="left" w:pos="567"/>
        <w:tab w:val="left" w:pos="960"/>
        <w:tab w:val="right" w:leader="dot" w:pos="9060"/>
      </w:tabs>
      <w:spacing w:before="120" w:after="120"/>
    </w:pPr>
    <w:rPr>
      <w:rFonts w:cstheme="minorHAnsi"/>
      <w:b/>
      <w:bCs/>
      <w:noProof/>
    </w:rPr>
  </w:style>
  <w:style w:type="paragraph" w:styleId="TOC3">
    <w:name w:val="toc 3"/>
    <w:basedOn w:val="Normal"/>
    <w:next w:val="Normal"/>
    <w:autoRedefine/>
    <w:uiPriority w:val="39"/>
    <w:unhideWhenUsed/>
    <w:rsid w:val="00A93E9F"/>
    <w:pPr>
      <w:tabs>
        <w:tab w:val="left" w:pos="567"/>
        <w:tab w:val="left" w:pos="1200"/>
        <w:tab w:val="right" w:leader="dot" w:pos="9060"/>
      </w:tabs>
      <w:spacing w:after="100"/>
    </w:pPr>
    <w:rPr>
      <w:rFonts w:cstheme="minorHAnsi"/>
      <w:noProof/>
      <w:sz w:val="20"/>
      <w:szCs w:val="20"/>
    </w:rPr>
  </w:style>
  <w:style w:type="character" w:customStyle="1" w:styleId="Heading3Char">
    <w:name w:val="Heading 3 Char"/>
    <w:basedOn w:val="DefaultParagraphFont"/>
    <w:link w:val="Heading3"/>
    <w:uiPriority w:val="9"/>
    <w:semiHidden/>
    <w:rsid w:val="009B1B03"/>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AA1944"/>
    <w:rPr>
      <w:rFonts w:asciiTheme="majorHAnsi" w:eastAsiaTheme="majorEastAsia" w:hAnsiTheme="majorHAnsi" w:cstheme="majorBidi"/>
      <w:i/>
      <w:iCs/>
      <w:color w:val="2F5496" w:themeColor="accent1" w:themeShade="BF"/>
    </w:rPr>
  </w:style>
  <w:style w:type="paragraph" w:customStyle="1" w:styleId="Bullet1">
    <w:name w:val="Bullet 1"/>
    <w:basedOn w:val="BodyText"/>
    <w:rsid w:val="00355778"/>
    <w:pPr>
      <w:tabs>
        <w:tab w:val="left" w:pos="567"/>
      </w:tabs>
      <w:spacing w:before="60"/>
    </w:pPr>
  </w:style>
  <w:style w:type="paragraph" w:customStyle="1" w:styleId="Bullet2">
    <w:name w:val="Bullet 2"/>
    <w:basedOn w:val="Bullet1"/>
    <w:rsid w:val="00355778"/>
    <w:pPr>
      <w:numPr>
        <w:ilvl w:val="1"/>
      </w:numPr>
      <w:tabs>
        <w:tab w:val="clear" w:pos="567"/>
        <w:tab w:val="left" w:pos="851"/>
      </w:tabs>
      <w:ind w:left="851" w:hanging="284"/>
    </w:pPr>
  </w:style>
  <w:style w:type="paragraph" w:customStyle="1" w:styleId="Bullet3">
    <w:name w:val="Bullet 3"/>
    <w:basedOn w:val="Bullet2"/>
    <w:rsid w:val="00355778"/>
    <w:pPr>
      <w:numPr>
        <w:ilvl w:val="2"/>
      </w:numPr>
      <w:tabs>
        <w:tab w:val="clear" w:pos="851"/>
        <w:tab w:val="left" w:pos="1134"/>
      </w:tabs>
      <w:ind w:left="1135" w:hanging="284"/>
    </w:pPr>
  </w:style>
  <w:style w:type="paragraph" w:customStyle="1" w:styleId="NumberedList1">
    <w:name w:val="Numbered List 1"/>
    <w:basedOn w:val="BodyText"/>
    <w:rsid w:val="00AF1674"/>
    <w:pPr>
      <w:numPr>
        <w:numId w:val="2"/>
      </w:numPr>
    </w:pPr>
  </w:style>
  <w:style w:type="paragraph" w:customStyle="1" w:styleId="NumberedList2">
    <w:name w:val="Numbered List 2"/>
    <w:basedOn w:val="NumberedList1"/>
    <w:rsid w:val="00AF1674"/>
    <w:pPr>
      <w:numPr>
        <w:ilvl w:val="1"/>
      </w:numPr>
      <w:spacing w:before="60"/>
    </w:pPr>
  </w:style>
  <w:style w:type="paragraph" w:customStyle="1" w:styleId="NumberedList3">
    <w:name w:val="Numbered List 3"/>
    <w:basedOn w:val="NumberedList2"/>
    <w:rsid w:val="00AF1674"/>
    <w:pPr>
      <w:numPr>
        <w:ilvl w:val="2"/>
      </w:numPr>
      <w:ind w:left="851"/>
    </w:pPr>
  </w:style>
  <w:style w:type="paragraph" w:customStyle="1" w:styleId="Heading1Numbered">
    <w:name w:val="Heading 1 Numbered"/>
    <w:basedOn w:val="Heading1"/>
    <w:next w:val="Normal"/>
    <w:rsid w:val="009E0620"/>
  </w:style>
  <w:style w:type="paragraph" w:customStyle="1" w:styleId="Heading2Numbered">
    <w:name w:val="Heading 2 Numbered"/>
    <w:basedOn w:val="Heading2"/>
    <w:next w:val="Normal"/>
    <w:rsid w:val="007E2D6E"/>
    <w:pPr>
      <w:numPr>
        <w:ilvl w:val="1"/>
        <w:numId w:val="5"/>
      </w:numPr>
      <w:spacing w:after="60"/>
    </w:pPr>
    <w:rPr>
      <w:bCs/>
    </w:rPr>
  </w:style>
  <w:style w:type="paragraph" w:customStyle="1" w:styleId="Heading3Numbered">
    <w:name w:val="Heading 3 Numbered"/>
    <w:basedOn w:val="Heading3"/>
    <w:next w:val="Normal"/>
    <w:rsid w:val="007E2D6E"/>
    <w:pPr>
      <w:keepNext w:val="0"/>
      <w:keepLines w:val="0"/>
      <w:numPr>
        <w:ilvl w:val="2"/>
        <w:numId w:val="5"/>
      </w:numPr>
      <w:suppressAutoHyphens/>
      <w:autoSpaceDE w:val="0"/>
      <w:autoSpaceDN w:val="0"/>
      <w:adjustRightInd w:val="0"/>
      <w:spacing w:after="60" w:line="300" w:lineRule="atLeast"/>
      <w:textAlignment w:val="center"/>
    </w:pPr>
    <w:rPr>
      <w:rFonts w:ascii="Calibri" w:eastAsiaTheme="minorHAnsi" w:hAnsi="Calibri" w:cs="Calibri"/>
      <w:szCs w:val="22"/>
    </w:rPr>
  </w:style>
  <w:style w:type="numbering" w:customStyle="1" w:styleId="BulletsList">
    <w:name w:val="Bullets List"/>
    <w:uiPriority w:val="99"/>
    <w:rsid w:val="00AF1674"/>
    <w:pPr>
      <w:numPr>
        <w:numId w:val="1"/>
      </w:numPr>
    </w:pPr>
  </w:style>
  <w:style w:type="numbering" w:customStyle="1" w:styleId="Numberedlist">
    <w:name w:val="Numbered list"/>
    <w:uiPriority w:val="99"/>
    <w:rsid w:val="00AF1674"/>
    <w:pPr>
      <w:numPr>
        <w:numId w:val="2"/>
      </w:numPr>
    </w:pPr>
  </w:style>
  <w:style w:type="numbering" w:customStyle="1" w:styleId="HeadingsList">
    <w:name w:val="Headings List"/>
    <w:uiPriority w:val="99"/>
    <w:rsid w:val="00AF1674"/>
    <w:pPr>
      <w:numPr>
        <w:numId w:val="3"/>
      </w:numPr>
    </w:pPr>
  </w:style>
  <w:style w:type="table" w:customStyle="1" w:styleId="IESCTABLE1">
    <w:name w:val="IESC TABLE 1"/>
    <w:basedOn w:val="TableNormal"/>
    <w:uiPriority w:val="42"/>
    <w:locked/>
    <w:rsid w:val="00AF1674"/>
    <w:pPr>
      <w:spacing w:after="80"/>
    </w:pPr>
    <w:tblPr>
      <w:tblStyleRowBandSize w:val="1"/>
      <w:tblStyleColBandSize w:val="1"/>
      <w:tblBorders>
        <w:top w:val="single" w:sz="4" w:space="0" w:color="00569F"/>
        <w:left w:val="single" w:sz="4" w:space="0" w:color="00569F"/>
        <w:bottom w:val="single" w:sz="4" w:space="0" w:color="00569F"/>
        <w:right w:val="single" w:sz="4" w:space="0" w:color="00569F"/>
        <w:insideH w:val="single" w:sz="4" w:space="0" w:color="00569F"/>
        <w:insideV w:val="single" w:sz="4" w:space="0" w:color="00569F"/>
      </w:tblBorders>
    </w:tblPr>
    <w:tcPr>
      <w:shd w:val="clear" w:color="auto" w:fill="EAEDF5"/>
      <w:tcMar>
        <w:top w:w="113" w:type="dxa"/>
        <w:bottom w:w="113" w:type="dxa"/>
      </w:tcMar>
    </w:tcPr>
    <w:tblStylePr w:type="firstRow">
      <w:pPr>
        <w:wordWrap/>
        <w:spacing w:beforeLines="0" w:before="0" w:beforeAutospacing="0" w:afterLines="0" w:after="0" w:afterAutospacing="0" w:line="240" w:lineRule="auto"/>
        <w:ind w:firstLineChars="0" w:firstLine="0"/>
      </w:pPr>
      <w:rPr>
        <w:rFonts w:ascii="Calibri" w:hAnsi="Calibri"/>
        <w:b/>
        <w:bCs/>
        <w:i w:val="0"/>
        <w:caps w:val="0"/>
        <w:smallCaps w:val="0"/>
        <w:strike w:val="0"/>
        <w:dstrike w:val="0"/>
        <w:vanish w:val="0"/>
        <w:color w:val="FFFFFF" w:themeColor="background1"/>
        <w:sz w:val="18"/>
        <w:u w:val="none"/>
        <w:vertAlign w:val="baseline"/>
      </w:rPr>
      <w:tblPr/>
      <w:tcPr>
        <w:tcBorders>
          <w:bottom w:val="single" w:sz="4" w:space="0" w:color="00569F"/>
        </w:tcBorders>
        <w:shd w:val="clear" w:color="auto" w:fill="00569F"/>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rPr>
        <w:rFonts w:ascii="Calibri" w:hAnsi="Calibri"/>
      </w:rPr>
      <w:tblPr/>
      <w:tcPr>
        <w:tcBorders>
          <w:top w:val="single" w:sz="4" w:space="0" w:color="7F7F7F" w:themeColor="text1" w:themeTint="80"/>
          <w:bottom w:val="single" w:sz="4" w:space="0" w:color="7F7F7F" w:themeColor="text1" w:themeTint="80"/>
        </w:tcBorders>
        <w:shd w:val="clear" w:color="auto" w:fill="EAEDF5"/>
      </w:tcPr>
    </w:tblStylePr>
    <w:tblStylePr w:type="band2Horz">
      <w:tblPr/>
      <w:tcPr>
        <w:tcBorders>
          <w:top w:val="single" w:sz="4" w:space="0" w:color="00569F"/>
          <w:left w:val="single" w:sz="4" w:space="0" w:color="00569F"/>
          <w:bottom w:val="single" w:sz="4" w:space="0" w:color="00569F"/>
          <w:right w:val="single" w:sz="4" w:space="0" w:color="00569F"/>
          <w:insideH w:val="single" w:sz="4" w:space="0" w:color="00569F"/>
          <w:insideV w:val="single" w:sz="4" w:space="0" w:color="00569F"/>
          <w:tl2br w:val="nil"/>
          <w:tr2bl w:val="nil"/>
        </w:tcBorders>
        <w:shd w:val="clear" w:color="auto" w:fill="EAEDF5"/>
      </w:tcPr>
    </w:tblStylePr>
  </w:style>
  <w:style w:type="character" w:styleId="Strong">
    <w:name w:val="Strong"/>
    <w:basedOn w:val="DefaultParagraphFont"/>
    <w:uiPriority w:val="22"/>
    <w:qFormat/>
    <w:rsid w:val="00AF1674"/>
    <w:rPr>
      <w:b/>
      <w:bCs/>
    </w:rPr>
  </w:style>
  <w:style w:type="paragraph" w:styleId="Caption">
    <w:name w:val="caption"/>
    <w:basedOn w:val="TableSourceNotes"/>
    <w:next w:val="Normal"/>
    <w:uiPriority w:val="35"/>
    <w:semiHidden/>
    <w:unhideWhenUsed/>
    <w:qFormat/>
    <w:rsid w:val="00784590"/>
    <w:pPr>
      <w:tabs>
        <w:tab w:val="clear" w:pos="284"/>
      </w:tabs>
      <w:suppressAutoHyphens w:val="0"/>
      <w:spacing w:before="0" w:after="200" w:line="240" w:lineRule="auto"/>
      <w:contextualSpacing w:val="0"/>
    </w:pPr>
    <w:rPr>
      <w:rFonts w:asciiTheme="minorHAnsi" w:hAnsiTheme="minorHAnsi"/>
      <w:iCs/>
      <w:color w:val="44546A" w:themeColor="text2"/>
      <w:sz w:val="18"/>
      <w:szCs w:val="18"/>
      <w:lang w:val="en-AU"/>
    </w:rPr>
  </w:style>
  <w:style w:type="paragraph" w:customStyle="1" w:styleId="TableText">
    <w:name w:val="Table Text"/>
    <w:basedOn w:val="BodyText"/>
    <w:rsid w:val="00AF1674"/>
    <w:pPr>
      <w:spacing w:after="80" w:line="240" w:lineRule="auto"/>
    </w:pPr>
  </w:style>
  <w:style w:type="paragraph" w:customStyle="1" w:styleId="TableHeaderRow">
    <w:name w:val="Table Header Row"/>
    <w:basedOn w:val="Normal"/>
    <w:rsid w:val="00B2124D"/>
    <w:pPr>
      <w:suppressAutoHyphens/>
      <w:autoSpaceDE w:val="0"/>
      <w:autoSpaceDN w:val="0"/>
      <w:adjustRightInd w:val="0"/>
      <w:textAlignment w:val="center"/>
    </w:pPr>
    <w:rPr>
      <w:rFonts w:ascii="Calibri" w:hAnsi="Calibri" w:cs="Adobe Garamond Pro Bold"/>
      <w:b/>
      <w:color w:val="FFFFFF"/>
      <w:sz w:val="20"/>
      <w:szCs w:val="20"/>
      <w:lang w:val="en-US"/>
    </w:rPr>
  </w:style>
  <w:style w:type="paragraph" w:customStyle="1" w:styleId="TableSourceNotes">
    <w:name w:val="Table Source Notes"/>
    <w:basedOn w:val="Normal"/>
    <w:rsid w:val="00B224EA"/>
    <w:pPr>
      <w:tabs>
        <w:tab w:val="left" w:pos="284"/>
      </w:tabs>
      <w:suppressAutoHyphens/>
      <w:spacing w:before="120" w:after="60" w:line="160" w:lineRule="atLeast"/>
      <w:contextualSpacing/>
    </w:pPr>
    <w:rPr>
      <w:rFonts w:ascii="Calibri" w:hAnsi="Calibri"/>
      <w:i/>
      <w:color w:val="000000" w:themeColor="text1"/>
      <w:sz w:val="17"/>
      <w:szCs w:val="16"/>
      <w:lang w:val="en-GB"/>
    </w:rPr>
  </w:style>
  <w:style w:type="paragraph" w:customStyle="1" w:styleId="Figureheading">
    <w:name w:val="Figure heading"/>
    <w:basedOn w:val="Normal"/>
    <w:uiPriority w:val="99"/>
    <w:rsid w:val="00AF1674"/>
    <w:pPr>
      <w:keepNext/>
      <w:suppressAutoHyphens/>
      <w:autoSpaceDE w:val="0"/>
      <w:autoSpaceDN w:val="0"/>
      <w:adjustRightInd w:val="0"/>
      <w:spacing w:before="283" w:after="170" w:line="280" w:lineRule="atLeast"/>
      <w:textAlignment w:val="center"/>
    </w:pPr>
    <w:rPr>
      <w:rFonts w:ascii="Calibri" w:hAnsi="Calibri" w:cs="Calibri"/>
      <w:b/>
      <w:bCs/>
      <w:color w:val="1F4E79"/>
      <w:lang w:val="en-US"/>
    </w:rPr>
  </w:style>
  <w:style w:type="paragraph" w:styleId="BodyText">
    <w:name w:val="Body Text"/>
    <w:basedOn w:val="Normal"/>
    <w:link w:val="BodyTextChar"/>
    <w:uiPriority w:val="99"/>
    <w:unhideWhenUsed/>
    <w:rsid w:val="00AF1674"/>
    <w:pPr>
      <w:suppressAutoHyphens/>
      <w:autoSpaceDE w:val="0"/>
      <w:autoSpaceDN w:val="0"/>
      <w:adjustRightInd w:val="0"/>
      <w:spacing w:after="170" w:line="280" w:lineRule="atLeast"/>
      <w:textAlignment w:val="center"/>
    </w:pPr>
    <w:rPr>
      <w:rFonts w:ascii="Garamond" w:hAnsi="Garamond" w:cs="Calibri"/>
      <w:color w:val="000000"/>
      <w:sz w:val="20"/>
      <w:szCs w:val="20"/>
      <w:lang w:val="en-US"/>
    </w:rPr>
  </w:style>
  <w:style w:type="character" w:customStyle="1" w:styleId="BodyTextChar">
    <w:name w:val="Body Text Char"/>
    <w:basedOn w:val="DefaultParagraphFont"/>
    <w:link w:val="BodyText"/>
    <w:uiPriority w:val="99"/>
    <w:rsid w:val="00AF1674"/>
    <w:rPr>
      <w:rFonts w:ascii="Garamond" w:hAnsi="Garamond" w:cs="Calibri"/>
      <w:color w:val="000000"/>
      <w:sz w:val="20"/>
      <w:szCs w:val="20"/>
      <w:lang w:val="en-US"/>
    </w:rPr>
  </w:style>
  <w:style w:type="paragraph" w:customStyle="1" w:styleId="Box1Text">
    <w:name w:val="Box 1 Text"/>
    <w:basedOn w:val="Normal"/>
    <w:rsid w:val="00AF1674"/>
    <w:pPr>
      <w:pBdr>
        <w:top w:val="single" w:sz="4" w:space="14" w:color="00569F"/>
        <w:left w:val="single" w:sz="4" w:space="14" w:color="00569F"/>
        <w:bottom w:val="single" w:sz="4" w:space="14" w:color="00569F"/>
        <w:right w:val="single" w:sz="4" w:space="14" w:color="00569F"/>
      </w:pBdr>
      <w:shd w:val="clear" w:color="auto" w:fill="FFFFFF" w:themeFill="background1"/>
      <w:suppressAutoHyphens/>
      <w:spacing w:before="180" w:after="80" w:line="240" w:lineRule="atLeast"/>
      <w:ind w:left="284" w:right="284"/>
    </w:pPr>
    <w:rPr>
      <w:rFonts w:ascii="Garamond" w:hAnsi="Garamond" w:cs="Times New Roman (Body CS)"/>
      <w:color w:val="000000" w:themeColor="text1"/>
      <w:sz w:val="20"/>
    </w:rPr>
  </w:style>
  <w:style w:type="paragraph" w:customStyle="1" w:styleId="Box1Heading">
    <w:name w:val="Box 1 Heading"/>
    <w:basedOn w:val="Box1Text"/>
    <w:rsid w:val="00887E02"/>
    <w:pPr>
      <w:keepNext/>
      <w:spacing w:line="300" w:lineRule="atLeast"/>
    </w:pPr>
    <w:rPr>
      <w:rFonts w:ascii="Calibri" w:hAnsi="Calibri" w:cs="Calibri"/>
      <w:b/>
      <w:color w:val="00569F"/>
      <w:sz w:val="26"/>
    </w:rPr>
  </w:style>
  <w:style w:type="paragraph" w:customStyle="1" w:styleId="Box1Bullet">
    <w:name w:val="Box 1 Bullet"/>
    <w:basedOn w:val="Box1Text"/>
    <w:rsid w:val="00AF1674"/>
    <w:pPr>
      <w:numPr>
        <w:numId w:val="4"/>
      </w:numPr>
      <w:ind w:left="568" w:hanging="284"/>
    </w:pPr>
  </w:style>
  <w:style w:type="paragraph" w:customStyle="1" w:styleId="Bos2Heading">
    <w:name w:val="Bos 2 Heading"/>
    <w:basedOn w:val="Box1Heading"/>
    <w:rsid w:val="00887E02"/>
    <w:rPr>
      <w:sz w:val="22"/>
    </w:rPr>
  </w:style>
  <w:style w:type="character" w:styleId="SubtleReference">
    <w:name w:val="Subtle Reference"/>
    <w:basedOn w:val="DefaultParagraphFont"/>
    <w:uiPriority w:val="31"/>
    <w:qFormat/>
    <w:rsid w:val="00AF1674"/>
    <w:rPr>
      <w:smallCaps/>
      <w:color w:val="5A5A5A" w:themeColor="text1" w:themeTint="A5"/>
    </w:rPr>
  </w:style>
  <w:style w:type="paragraph" w:styleId="TOC4">
    <w:name w:val="toc 4"/>
    <w:basedOn w:val="Normal"/>
    <w:next w:val="Normal"/>
    <w:autoRedefine/>
    <w:uiPriority w:val="39"/>
    <w:semiHidden/>
    <w:unhideWhenUsed/>
    <w:rsid w:val="009763CB"/>
    <w:pPr>
      <w:ind w:left="720"/>
    </w:pPr>
    <w:rPr>
      <w:rFonts w:cstheme="minorHAnsi"/>
      <w:sz w:val="20"/>
      <w:szCs w:val="20"/>
    </w:rPr>
  </w:style>
  <w:style w:type="paragraph" w:customStyle="1" w:styleId="Titlepagetitle">
    <w:name w:val="Title page title"/>
    <w:basedOn w:val="Covertitle"/>
    <w:rsid w:val="005F3C1E"/>
    <w:pPr>
      <w:ind w:left="0"/>
      <w:jc w:val="center"/>
    </w:pPr>
  </w:style>
  <w:style w:type="paragraph" w:customStyle="1" w:styleId="Titlepagesubtitle">
    <w:name w:val="Title page subtitle"/>
    <w:basedOn w:val="Coversubtitle"/>
    <w:rsid w:val="005F3C1E"/>
    <w:pPr>
      <w:ind w:left="0"/>
      <w:jc w:val="center"/>
    </w:pPr>
  </w:style>
  <w:style w:type="paragraph" w:styleId="TOC5">
    <w:name w:val="toc 5"/>
    <w:basedOn w:val="Normal"/>
    <w:next w:val="Normal"/>
    <w:autoRedefine/>
    <w:uiPriority w:val="39"/>
    <w:semiHidden/>
    <w:unhideWhenUsed/>
    <w:rsid w:val="009763CB"/>
    <w:pPr>
      <w:ind w:left="960"/>
    </w:pPr>
    <w:rPr>
      <w:rFonts w:cstheme="minorHAnsi"/>
      <w:sz w:val="20"/>
      <w:szCs w:val="20"/>
    </w:rPr>
  </w:style>
  <w:style w:type="paragraph" w:styleId="TOC6">
    <w:name w:val="toc 6"/>
    <w:basedOn w:val="Normal"/>
    <w:next w:val="Normal"/>
    <w:autoRedefine/>
    <w:uiPriority w:val="39"/>
    <w:semiHidden/>
    <w:unhideWhenUsed/>
    <w:rsid w:val="009763CB"/>
    <w:pPr>
      <w:ind w:left="1200"/>
    </w:pPr>
    <w:rPr>
      <w:rFonts w:cstheme="minorHAnsi"/>
      <w:sz w:val="20"/>
      <w:szCs w:val="20"/>
    </w:rPr>
  </w:style>
  <w:style w:type="paragraph" w:styleId="TOC7">
    <w:name w:val="toc 7"/>
    <w:basedOn w:val="Normal"/>
    <w:next w:val="Normal"/>
    <w:autoRedefine/>
    <w:uiPriority w:val="39"/>
    <w:semiHidden/>
    <w:unhideWhenUsed/>
    <w:rsid w:val="009763CB"/>
    <w:pPr>
      <w:ind w:left="1440"/>
    </w:pPr>
    <w:rPr>
      <w:rFonts w:cstheme="minorHAnsi"/>
      <w:sz w:val="20"/>
      <w:szCs w:val="20"/>
    </w:rPr>
  </w:style>
  <w:style w:type="paragraph" w:styleId="TOC8">
    <w:name w:val="toc 8"/>
    <w:basedOn w:val="Normal"/>
    <w:next w:val="Normal"/>
    <w:autoRedefine/>
    <w:uiPriority w:val="39"/>
    <w:semiHidden/>
    <w:unhideWhenUsed/>
    <w:rsid w:val="009763CB"/>
    <w:pPr>
      <w:ind w:left="1680"/>
    </w:pPr>
    <w:rPr>
      <w:rFonts w:cstheme="minorHAnsi"/>
      <w:sz w:val="20"/>
      <w:szCs w:val="20"/>
    </w:rPr>
  </w:style>
  <w:style w:type="paragraph" w:styleId="TOC9">
    <w:name w:val="toc 9"/>
    <w:basedOn w:val="Normal"/>
    <w:next w:val="Normal"/>
    <w:autoRedefine/>
    <w:uiPriority w:val="39"/>
    <w:semiHidden/>
    <w:unhideWhenUsed/>
    <w:rsid w:val="009763CB"/>
    <w:pPr>
      <w:ind w:left="1920"/>
    </w:pPr>
    <w:rPr>
      <w:rFonts w:cstheme="minorHAnsi"/>
      <w:sz w:val="20"/>
      <w:szCs w:val="20"/>
    </w:rPr>
  </w:style>
  <w:style w:type="paragraph" w:customStyle="1" w:styleId="Reference">
    <w:name w:val="Reference"/>
    <w:basedOn w:val="Normal"/>
    <w:next w:val="Normal"/>
    <w:uiPriority w:val="99"/>
    <w:rsid w:val="00AC66E0"/>
    <w:pPr>
      <w:autoSpaceDE w:val="0"/>
      <w:autoSpaceDN w:val="0"/>
      <w:adjustRightInd w:val="0"/>
      <w:spacing w:before="160"/>
      <w:ind w:left="567" w:hanging="567"/>
    </w:pPr>
    <w:rPr>
      <w:rFonts w:ascii="Garamond" w:hAnsi="Garamond" w:cs="Garamond"/>
      <w:color w:val="211D1E"/>
      <w:sz w:val="20"/>
      <w:szCs w:val="20"/>
    </w:rPr>
  </w:style>
  <w:style w:type="character" w:customStyle="1" w:styleId="A5">
    <w:name w:val="A5"/>
    <w:uiPriority w:val="99"/>
    <w:rsid w:val="00EE62CA"/>
    <w:rPr>
      <w:rFonts w:cs="Garamond"/>
      <w:color w:val="00528D"/>
      <w:sz w:val="20"/>
      <w:szCs w:val="20"/>
      <w:u w:val="single"/>
    </w:rPr>
  </w:style>
  <w:style w:type="paragraph" w:customStyle="1" w:styleId="TABLEHEADING">
    <w:name w:val="TABLE HEADING"/>
    <w:basedOn w:val="Figureheading"/>
    <w:rsid w:val="00F11396"/>
  </w:style>
  <w:style w:type="paragraph" w:styleId="Revision">
    <w:name w:val="Revision"/>
    <w:hidden/>
    <w:uiPriority w:val="99"/>
    <w:semiHidden/>
    <w:rsid w:val="000C249A"/>
  </w:style>
  <w:style w:type="table" w:styleId="TableGrid">
    <w:name w:val="Table Grid"/>
    <w:basedOn w:val="TableNormal"/>
    <w:uiPriority w:val="39"/>
    <w:rsid w:val="00A373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erences">
    <w:name w:val="References"/>
    <w:basedOn w:val="Reference"/>
    <w:rsid w:val="00A373E3"/>
  </w:style>
  <w:style w:type="character" w:customStyle="1" w:styleId="UnresolvedMention2">
    <w:name w:val="Unresolved Mention2"/>
    <w:basedOn w:val="DefaultParagraphFont"/>
    <w:uiPriority w:val="99"/>
    <w:semiHidden/>
    <w:unhideWhenUsed/>
    <w:rsid w:val="00FC261A"/>
    <w:rPr>
      <w:color w:val="605E5C"/>
      <w:shd w:val="clear" w:color="auto" w:fill="E1DFDD"/>
    </w:rPr>
  </w:style>
  <w:style w:type="paragraph" w:customStyle="1" w:styleId="02HEADING2">
    <w:name w:val="02. HEADING 2"/>
    <w:basedOn w:val="Normal"/>
    <w:uiPriority w:val="99"/>
    <w:rsid w:val="00FC261A"/>
    <w:pPr>
      <w:keepNext/>
      <w:autoSpaceDE w:val="0"/>
      <w:autoSpaceDN w:val="0"/>
      <w:spacing w:before="397" w:after="170" w:line="380" w:lineRule="atLeast"/>
      <w:ind w:left="567" w:hanging="567"/>
    </w:pPr>
    <w:rPr>
      <w:rFonts w:ascii="Calibri" w:hAnsi="Calibri" w:cs="Times New Roman"/>
      <w:b/>
      <w:bCs/>
      <w:color w:val="005695"/>
      <w:sz w:val="28"/>
      <w:szCs w:val="28"/>
    </w:rPr>
  </w:style>
  <w:style w:type="paragraph" w:customStyle="1" w:styleId="01HEADING1">
    <w:name w:val="01. HEADING 1"/>
    <w:basedOn w:val="Normal"/>
    <w:uiPriority w:val="99"/>
    <w:rsid w:val="00FC261A"/>
    <w:pPr>
      <w:autoSpaceDE w:val="0"/>
      <w:autoSpaceDN w:val="0"/>
      <w:spacing w:before="397" w:after="170" w:line="380" w:lineRule="atLeast"/>
      <w:ind w:left="567" w:hanging="567"/>
    </w:pPr>
    <w:rPr>
      <w:rFonts w:ascii="Calibri" w:hAnsi="Calibri" w:cs="Times New Roman"/>
      <w:b/>
      <w:bCs/>
      <w:color w:val="005695"/>
      <w:sz w:val="36"/>
      <w:szCs w:val="36"/>
    </w:rPr>
  </w:style>
  <w:style w:type="paragraph" w:customStyle="1" w:styleId="06DOTPOINTS">
    <w:name w:val="06. DOT POINTS"/>
    <w:basedOn w:val="Normal"/>
    <w:uiPriority w:val="99"/>
    <w:rsid w:val="00FC261A"/>
    <w:pPr>
      <w:autoSpaceDE w:val="0"/>
      <w:autoSpaceDN w:val="0"/>
      <w:spacing w:after="113" w:line="280" w:lineRule="atLeast"/>
      <w:ind w:left="283" w:hanging="283"/>
    </w:pPr>
    <w:rPr>
      <w:rFonts w:ascii="Calibri" w:hAnsi="Calibri" w:cs="Times New Roman"/>
      <w:color w:val="000000"/>
      <w:sz w:val="20"/>
      <w:szCs w:val="20"/>
    </w:rPr>
  </w:style>
  <w:style w:type="paragraph" w:styleId="ListParagraph">
    <w:name w:val="List Paragraph"/>
    <w:basedOn w:val="Normal"/>
    <w:uiPriority w:val="34"/>
    <w:qFormat/>
    <w:rsid w:val="00FC261A"/>
    <w:pPr>
      <w:ind w:left="720"/>
      <w:contextualSpacing/>
    </w:pPr>
  </w:style>
  <w:style w:type="paragraph" w:styleId="TableofFigures">
    <w:name w:val="table of figures"/>
    <w:basedOn w:val="Normal"/>
    <w:next w:val="Normal"/>
    <w:uiPriority w:val="99"/>
    <w:unhideWhenUsed/>
    <w:rsid w:val="00FC261A"/>
    <w:rPr>
      <w:rFonts w:ascii="Garamond" w:hAnsi="Garamond"/>
      <w:sz w:val="20"/>
    </w:rPr>
  </w:style>
  <w:style w:type="character" w:customStyle="1" w:styleId="A4">
    <w:name w:val="A4"/>
    <w:uiPriority w:val="99"/>
    <w:rsid w:val="00FC261A"/>
    <w:rPr>
      <w:rFonts w:cs="Adobe Garamond Pro"/>
      <w:color w:val="000000"/>
      <w:sz w:val="16"/>
      <w:szCs w:val="16"/>
    </w:rPr>
  </w:style>
  <w:style w:type="character" w:customStyle="1" w:styleId="x1980163782size">
    <w:name w:val="x_1980163782size"/>
    <w:basedOn w:val="DefaultParagraphFont"/>
    <w:rsid w:val="00FC261A"/>
  </w:style>
  <w:style w:type="paragraph" w:customStyle="1" w:styleId="paragraph">
    <w:name w:val="paragraph"/>
    <w:basedOn w:val="Normal"/>
    <w:rsid w:val="00FC261A"/>
    <w:pPr>
      <w:spacing w:before="100" w:beforeAutospacing="1" w:after="100" w:afterAutospacing="1"/>
    </w:pPr>
    <w:rPr>
      <w:rFonts w:ascii="Times New Roman" w:eastAsia="Times New Roman" w:hAnsi="Times New Roman" w:cs="Times New Roman"/>
      <w:lang w:eastAsia="en-AU"/>
    </w:rPr>
  </w:style>
  <w:style w:type="character" w:customStyle="1" w:styleId="normaltextrun">
    <w:name w:val="normaltextrun"/>
    <w:basedOn w:val="DefaultParagraphFont"/>
    <w:rsid w:val="00FC261A"/>
  </w:style>
  <w:style w:type="character" w:customStyle="1" w:styleId="eop">
    <w:name w:val="eop"/>
    <w:basedOn w:val="DefaultParagraphFont"/>
    <w:rsid w:val="00FC261A"/>
  </w:style>
  <w:style w:type="character" w:customStyle="1" w:styleId="contextualspellingandgrammarerror">
    <w:name w:val="contextualspellingandgrammarerror"/>
    <w:basedOn w:val="DefaultParagraphFont"/>
    <w:rsid w:val="00FC261A"/>
  </w:style>
  <w:style w:type="character" w:styleId="FollowedHyperlink">
    <w:name w:val="FollowedHyperlink"/>
    <w:basedOn w:val="DefaultParagraphFont"/>
    <w:uiPriority w:val="99"/>
    <w:semiHidden/>
    <w:unhideWhenUsed/>
    <w:rsid w:val="00FC261A"/>
    <w:rPr>
      <w:color w:val="954F72" w:themeColor="followedHyperlink"/>
      <w:u w:val="single"/>
    </w:rPr>
  </w:style>
  <w:style w:type="character" w:customStyle="1" w:styleId="UnresolvedMention21">
    <w:name w:val="Unresolved Mention21"/>
    <w:basedOn w:val="DefaultParagraphFont"/>
    <w:uiPriority w:val="99"/>
    <w:semiHidden/>
    <w:unhideWhenUsed/>
    <w:rsid w:val="00FC261A"/>
    <w:rPr>
      <w:color w:val="605E5C"/>
      <w:shd w:val="clear" w:color="auto" w:fill="E1DFDD"/>
    </w:rPr>
  </w:style>
  <w:style w:type="paragraph" w:customStyle="1" w:styleId="Default">
    <w:name w:val="Default"/>
    <w:rsid w:val="00054F44"/>
    <w:pPr>
      <w:autoSpaceDE w:val="0"/>
      <w:autoSpaceDN w:val="0"/>
      <w:adjustRightInd w:val="0"/>
    </w:pPr>
    <w:rPr>
      <w:rFonts w:ascii="Adobe Garamond Pro" w:hAnsi="Adobe Garamond Pro" w:cs="Adobe Garamond Pro"/>
      <w:color w:val="000000"/>
    </w:rPr>
  </w:style>
  <w:style w:type="character" w:customStyle="1" w:styleId="article-date">
    <w:name w:val="article-date"/>
    <w:basedOn w:val="DefaultParagraphFont"/>
    <w:rsid w:val="007A381B"/>
  </w:style>
  <w:style w:type="character" w:customStyle="1" w:styleId="UnresolvedMention3">
    <w:name w:val="Unresolved Mention3"/>
    <w:basedOn w:val="DefaultParagraphFont"/>
    <w:uiPriority w:val="99"/>
    <w:semiHidden/>
    <w:unhideWhenUsed/>
    <w:rsid w:val="005A0541"/>
    <w:rPr>
      <w:color w:val="605E5C"/>
      <w:shd w:val="clear" w:color="auto" w:fill="E1DFDD"/>
    </w:rPr>
  </w:style>
  <w:style w:type="character" w:styleId="PlaceholderText">
    <w:name w:val="Placeholder Text"/>
    <w:basedOn w:val="DefaultParagraphFont"/>
    <w:uiPriority w:val="99"/>
    <w:semiHidden/>
    <w:rsid w:val="005A0541"/>
    <w:rPr>
      <w:color w:val="808080"/>
    </w:rPr>
  </w:style>
  <w:style w:type="character" w:customStyle="1" w:styleId="UnresolvedMention4">
    <w:name w:val="Unresolved Mention4"/>
    <w:basedOn w:val="DefaultParagraphFont"/>
    <w:uiPriority w:val="99"/>
    <w:semiHidden/>
    <w:unhideWhenUsed/>
    <w:rsid w:val="006122E5"/>
    <w:rPr>
      <w:color w:val="605E5C"/>
      <w:shd w:val="clear" w:color="auto" w:fill="E1DFDD"/>
    </w:rPr>
  </w:style>
  <w:style w:type="paragraph" w:styleId="NoSpacing">
    <w:name w:val="No Spacing"/>
    <w:link w:val="NoSpacingChar"/>
    <w:uiPriority w:val="1"/>
    <w:qFormat/>
    <w:rsid w:val="00684EF2"/>
    <w:pPr>
      <w:spacing w:after="0" w:line="240" w:lineRule="auto"/>
    </w:pPr>
  </w:style>
  <w:style w:type="character" w:customStyle="1" w:styleId="NoSpacingChar">
    <w:name w:val="No Spacing Char"/>
    <w:basedOn w:val="DefaultParagraphFont"/>
    <w:link w:val="NoSpacing"/>
    <w:uiPriority w:val="1"/>
    <w:rsid w:val="00684E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6844470">
      <w:bodyDiv w:val="1"/>
      <w:marLeft w:val="0"/>
      <w:marRight w:val="0"/>
      <w:marTop w:val="0"/>
      <w:marBottom w:val="0"/>
      <w:divBdr>
        <w:top w:val="none" w:sz="0" w:space="0" w:color="auto"/>
        <w:left w:val="none" w:sz="0" w:space="0" w:color="auto"/>
        <w:bottom w:val="none" w:sz="0" w:space="0" w:color="auto"/>
        <w:right w:val="none" w:sz="0" w:space="0" w:color="auto"/>
      </w:divBdr>
    </w:div>
    <w:div w:id="229585503">
      <w:bodyDiv w:val="1"/>
      <w:marLeft w:val="0"/>
      <w:marRight w:val="0"/>
      <w:marTop w:val="0"/>
      <w:marBottom w:val="0"/>
      <w:divBdr>
        <w:top w:val="none" w:sz="0" w:space="0" w:color="auto"/>
        <w:left w:val="none" w:sz="0" w:space="0" w:color="auto"/>
        <w:bottom w:val="none" w:sz="0" w:space="0" w:color="auto"/>
        <w:right w:val="none" w:sz="0" w:space="0" w:color="auto"/>
      </w:divBdr>
    </w:div>
    <w:div w:id="307366213">
      <w:bodyDiv w:val="1"/>
      <w:marLeft w:val="0"/>
      <w:marRight w:val="0"/>
      <w:marTop w:val="0"/>
      <w:marBottom w:val="0"/>
      <w:divBdr>
        <w:top w:val="none" w:sz="0" w:space="0" w:color="auto"/>
        <w:left w:val="none" w:sz="0" w:space="0" w:color="auto"/>
        <w:bottom w:val="none" w:sz="0" w:space="0" w:color="auto"/>
        <w:right w:val="none" w:sz="0" w:space="0" w:color="auto"/>
      </w:divBdr>
    </w:div>
    <w:div w:id="420486650">
      <w:bodyDiv w:val="1"/>
      <w:marLeft w:val="0"/>
      <w:marRight w:val="0"/>
      <w:marTop w:val="0"/>
      <w:marBottom w:val="0"/>
      <w:divBdr>
        <w:top w:val="none" w:sz="0" w:space="0" w:color="auto"/>
        <w:left w:val="none" w:sz="0" w:space="0" w:color="auto"/>
        <w:bottom w:val="none" w:sz="0" w:space="0" w:color="auto"/>
        <w:right w:val="none" w:sz="0" w:space="0" w:color="auto"/>
      </w:divBdr>
    </w:div>
    <w:div w:id="512839487">
      <w:bodyDiv w:val="1"/>
      <w:marLeft w:val="0"/>
      <w:marRight w:val="0"/>
      <w:marTop w:val="0"/>
      <w:marBottom w:val="0"/>
      <w:divBdr>
        <w:top w:val="none" w:sz="0" w:space="0" w:color="auto"/>
        <w:left w:val="none" w:sz="0" w:space="0" w:color="auto"/>
        <w:bottom w:val="none" w:sz="0" w:space="0" w:color="auto"/>
        <w:right w:val="none" w:sz="0" w:space="0" w:color="auto"/>
      </w:divBdr>
    </w:div>
    <w:div w:id="684282504">
      <w:bodyDiv w:val="1"/>
      <w:marLeft w:val="0"/>
      <w:marRight w:val="0"/>
      <w:marTop w:val="0"/>
      <w:marBottom w:val="0"/>
      <w:divBdr>
        <w:top w:val="none" w:sz="0" w:space="0" w:color="auto"/>
        <w:left w:val="none" w:sz="0" w:space="0" w:color="auto"/>
        <w:bottom w:val="none" w:sz="0" w:space="0" w:color="auto"/>
        <w:right w:val="none" w:sz="0" w:space="0" w:color="auto"/>
      </w:divBdr>
    </w:div>
    <w:div w:id="801003480">
      <w:bodyDiv w:val="1"/>
      <w:marLeft w:val="0"/>
      <w:marRight w:val="0"/>
      <w:marTop w:val="0"/>
      <w:marBottom w:val="0"/>
      <w:divBdr>
        <w:top w:val="none" w:sz="0" w:space="0" w:color="auto"/>
        <w:left w:val="none" w:sz="0" w:space="0" w:color="auto"/>
        <w:bottom w:val="none" w:sz="0" w:space="0" w:color="auto"/>
        <w:right w:val="none" w:sz="0" w:space="0" w:color="auto"/>
      </w:divBdr>
    </w:div>
    <w:div w:id="1052508627">
      <w:bodyDiv w:val="1"/>
      <w:marLeft w:val="0"/>
      <w:marRight w:val="0"/>
      <w:marTop w:val="0"/>
      <w:marBottom w:val="0"/>
      <w:divBdr>
        <w:top w:val="none" w:sz="0" w:space="0" w:color="auto"/>
        <w:left w:val="none" w:sz="0" w:space="0" w:color="auto"/>
        <w:bottom w:val="none" w:sz="0" w:space="0" w:color="auto"/>
        <w:right w:val="none" w:sz="0" w:space="0" w:color="auto"/>
      </w:divBdr>
    </w:div>
    <w:div w:id="1058669852">
      <w:bodyDiv w:val="1"/>
      <w:marLeft w:val="0"/>
      <w:marRight w:val="0"/>
      <w:marTop w:val="0"/>
      <w:marBottom w:val="0"/>
      <w:divBdr>
        <w:top w:val="none" w:sz="0" w:space="0" w:color="auto"/>
        <w:left w:val="none" w:sz="0" w:space="0" w:color="auto"/>
        <w:bottom w:val="none" w:sz="0" w:space="0" w:color="auto"/>
        <w:right w:val="none" w:sz="0" w:space="0" w:color="auto"/>
      </w:divBdr>
    </w:div>
    <w:div w:id="1104813399">
      <w:bodyDiv w:val="1"/>
      <w:marLeft w:val="0"/>
      <w:marRight w:val="0"/>
      <w:marTop w:val="0"/>
      <w:marBottom w:val="0"/>
      <w:divBdr>
        <w:top w:val="none" w:sz="0" w:space="0" w:color="auto"/>
        <w:left w:val="none" w:sz="0" w:space="0" w:color="auto"/>
        <w:bottom w:val="none" w:sz="0" w:space="0" w:color="auto"/>
        <w:right w:val="none" w:sz="0" w:space="0" w:color="auto"/>
      </w:divBdr>
    </w:div>
    <w:div w:id="1202087981">
      <w:bodyDiv w:val="1"/>
      <w:marLeft w:val="0"/>
      <w:marRight w:val="0"/>
      <w:marTop w:val="0"/>
      <w:marBottom w:val="0"/>
      <w:divBdr>
        <w:top w:val="none" w:sz="0" w:space="0" w:color="auto"/>
        <w:left w:val="none" w:sz="0" w:space="0" w:color="auto"/>
        <w:bottom w:val="none" w:sz="0" w:space="0" w:color="auto"/>
        <w:right w:val="none" w:sz="0" w:space="0" w:color="auto"/>
      </w:divBdr>
    </w:div>
    <w:div w:id="1429348680">
      <w:bodyDiv w:val="1"/>
      <w:marLeft w:val="0"/>
      <w:marRight w:val="0"/>
      <w:marTop w:val="0"/>
      <w:marBottom w:val="0"/>
      <w:divBdr>
        <w:top w:val="none" w:sz="0" w:space="0" w:color="auto"/>
        <w:left w:val="none" w:sz="0" w:space="0" w:color="auto"/>
        <w:bottom w:val="none" w:sz="0" w:space="0" w:color="auto"/>
        <w:right w:val="none" w:sz="0" w:space="0" w:color="auto"/>
      </w:divBdr>
      <w:divsChild>
        <w:div w:id="1727533977">
          <w:marLeft w:val="0"/>
          <w:marRight w:val="0"/>
          <w:marTop w:val="0"/>
          <w:marBottom w:val="0"/>
          <w:divBdr>
            <w:top w:val="none" w:sz="0" w:space="0" w:color="auto"/>
            <w:left w:val="none" w:sz="0" w:space="0" w:color="auto"/>
            <w:bottom w:val="none" w:sz="0" w:space="0" w:color="auto"/>
            <w:right w:val="none" w:sz="0" w:space="0" w:color="auto"/>
          </w:divBdr>
          <w:divsChild>
            <w:div w:id="2102410687">
              <w:marLeft w:val="0"/>
              <w:marRight w:val="0"/>
              <w:marTop w:val="0"/>
              <w:marBottom w:val="0"/>
              <w:divBdr>
                <w:top w:val="none" w:sz="0" w:space="0" w:color="auto"/>
                <w:left w:val="none" w:sz="0" w:space="0" w:color="auto"/>
                <w:bottom w:val="none" w:sz="0" w:space="0" w:color="auto"/>
                <w:right w:val="none" w:sz="0" w:space="0" w:color="auto"/>
              </w:divBdr>
            </w:div>
          </w:divsChild>
        </w:div>
        <w:div w:id="1495297691">
          <w:marLeft w:val="0"/>
          <w:marRight w:val="0"/>
          <w:marTop w:val="0"/>
          <w:marBottom w:val="0"/>
          <w:divBdr>
            <w:top w:val="none" w:sz="0" w:space="0" w:color="auto"/>
            <w:left w:val="none" w:sz="0" w:space="0" w:color="auto"/>
            <w:bottom w:val="none" w:sz="0" w:space="0" w:color="auto"/>
            <w:right w:val="none" w:sz="0" w:space="0" w:color="auto"/>
          </w:divBdr>
        </w:div>
      </w:divsChild>
    </w:div>
    <w:div w:id="1760446733">
      <w:bodyDiv w:val="1"/>
      <w:marLeft w:val="0"/>
      <w:marRight w:val="0"/>
      <w:marTop w:val="0"/>
      <w:marBottom w:val="0"/>
      <w:divBdr>
        <w:top w:val="none" w:sz="0" w:space="0" w:color="auto"/>
        <w:left w:val="none" w:sz="0" w:space="0" w:color="auto"/>
        <w:bottom w:val="none" w:sz="0" w:space="0" w:color="auto"/>
        <w:right w:val="none" w:sz="0" w:space="0" w:color="auto"/>
      </w:divBdr>
    </w:div>
    <w:div w:id="1787310780">
      <w:bodyDiv w:val="1"/>
      <w:marLeft w:val="0"/>
      <w:marRight w:val="0"/>
      <w:marTop w:val="0"/>
      <w:marBottom w:val="0"/>
      <w:divBdr>
        <w:top w:val="none" w:sz="0" w:space="0" w:color="auto"/>
        <w:left w:val="none" w:sz="0" w:space="0" w:color="auto"/>
        <w:bottom w:val="none" w:sz="0" w:space="0" w:color="auto"/>
        <w:right w:val="none" w:sz="0" w:space="0" w:color="auto"/>
      </w:divBdr>
    </w:div>
    <w:div w:id="1873570246">
      <w:bodyDiv w:val="1"/>
      <w:marLeft w:val="0"/>
      <w:marRight w:val="0"/>
      <w:marTop w:val="0"/>
      <w:marBottom w:val="0"/>
      <w:divBdr>
        <w:top w:val="none" w:sz="0" w:space="0" w:color="auto"/>
        <w:left w:val="none" w:sz="0" w:space="0" w:color="auto"/>
        <w:bottom w:val="none" w:sz="0" w:space="0" w:color="auto"/>
        <w:right w:val="none" w:sz="0" w:space="0" w:color="auto"/>
      </w:divBdr>
      <w:divsChild>
        <w:div w:id="584148885">
          <w:marLeft w:val="0"/>
          <w:marRight w:val="0"/>
          <w:marTop w:val="0"/>
          <w:marBottom w:val="0"/>
          <w:divBdr>
            <w:top w:val="none" w:sz="0" w:space="0" w:color="auto"/>
            <w:left w:val="none" w:sz="0" w:space="0" w:color="auto"/>
            <w:bottom w:val="none" w:sz="0" w:space="0" w:color="auto"/>
            <w:right w:val="none" w:sz="0" w:space="0" w:color="auto"/>
          </w:divBdr>
          <w:divsChild>
            <w:div w:id="1097865154">
              <w:marLeft w:val="0"/>
              <w:marRight w:val="0"/>
              <w:marTop w:val="240"/>
              <w:marBottom w:val="0"/>
              <w:divBdr>
                <w:top w:val="none" w:sz="0" w:space="0" w:color="auto"/>
                <w:left w:val="none" w:sz="0" w:space="0" w:color="auto"/>
                <w:bottom w:val="none" w:sz="0" w:space="0" w:color="auto"/>
                <w:right w:val="none" w:sz="0" w:space="0" w:color="auto"/>
              </w:divBdr>
              <w:divsChild>
                <w:div w:id="1452898157">
                  <w:marLeft w:val="0"/>
                  <w:marRight w:val="0"/>
                  <w:marTop w:val="0"/>
                  <w:marBottom w:val="180"/>
                  <w:divBdr>
                    <w:top w:val="none" w:sz="0" w:space="0" w:color="auto"/>
                    <w:left w:val="none" w:sz="0" w:space="0" w:color="auto"/>
                    <w:bottom w:val="none" w:sz="0" w:space="0" w:color="auto"/>
                    <w:right w:val="none" w:sz="0" w:space="0" w:color="auto"/>
                  </w:divBdr>
                  <w:divsChild>
                    <w:div w:id="837962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760409">
              <w:marLeft w:val="0"/>
              <w:marRight w:val="0"/>
              <w:marTop w:val="180"/>
              <w:marBottom w:val="360"/>
              <w:divBdr>
                <w:top w:val="none" w:sz="0" w:space="0" w:color="auto"/>
                <w:left w:val="none" w:sz="0" w:space="0" w:color="auto"/>
                <w:bottom w:val="none" w:sz="0" w:space="0" w:color="auto"/>
                <w:right w:val="none" w:sz="0" w:space="0" w:color="auto"/>
              </w:divBdr>
              <w:divsChild>
                <w:div w:id="654727981">
                  <w:marLeft w:val="0"/>
                  <w:marRight w:val="0"/>
                  <w:marTop w:val="0"/>
                  <w:marBottom w:val="0"/>
                  <w:divBdr>
                    <w:top w:val="none" w:sz="0" w:space="0" w:color="auto"/>
                    <w:left w:val="none" w:sz="0" w:space="0" w:color="auto"/>
                    <w:bottom w:val="none" w:sz="0" w:space="0" w:color="auto"/>
                    <w:right w:val="none" w:sz="0" w:space="0" w:color="auto"/>
                  </w:divBdr>
                  <w:divsChild>
                    <w:div w:id="1953049160">
                      <w:marLeft w:val="0"/>
                      <w:marRight w:val="0"/>
                      <w:marTop w:val="0"/>
                      <w:marBottom w:val="0"/>
                      <w:divBdr>
                        <w:top w:val="none" w:sz="0" w:space="0" w:color="auto"/>
                        <w:left w:val="none" w:sz="0" w:space="0" w:color="auto"/>
                        <w:bottom w:val="none" w:sz="0" w:space="0" w:color="auto"/>
                        <w:right w:val="none" w:sz="0" w:space="0" w:color="auto"/>
                      </w:divBdr>
                    </w:div>
                  </w:divsChild>
                </w:div>
                <w:div w:id="1337002877">
                  <w:marLeft w:val="0"/>
                  <w:marRight w:val="0"/>
                  <w:marTop w:val="180"/>
                  <w:marBottom w:val="0"/>
                  <w:divBdr>
                    <w:top w:val="none" w:sz="0" w:space="0" w:color="auto"/>
                    <w:left w:val="none" w:sz="0" w:space="0" w:color="auto"/>
                    <w:bottom w:val="none" w:sz="0" w:space="0" w:color="auto"/>
                    <w:right w:val="none" w:sz="0" w:space="0" w:color="auto"/>
                  </w:divBdr>
                  <w:divsChild>
                    <w:div w:id="1894928595">
                      <w:marLeft w:val="0"/>
                      <w:marRight w:val="0"/>
                      <w:marTop w:val="0"/>
                      <w:marBottom w:val="0"/>
                      <w:divBdr>
                        <w:top w:val="none" w:sz="0" w:space="0" w:color="auto"/>
                        <w:left w:val="none" w:sz="0" w:space="0" w:color="auto"/>
                        <w:bottom w:val="none" w:sz="0" w:space="0" w:color="auto"/>
                        <w:right w:val="none" w:sz="0" w:space="0" w:color="auto"/>
                      </w:divBdr>
                      <w:divsChild>
                        <w:div w:id="1669408764">
                          <w:marLeft w:val="0"/>
                          <w:marRight w:val="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2578235">
          <w:marLeft w:val="0"/>
          <w:marRight w:val="0"/>
          <w:marTop w:val="0"/>
          <w:marBottom w:val="0"/>
          <w:divBdr>
            <w:top w:val="none" w:sz="0" w:space="0" w:color="auto"/>
            <w:left w:val="none" w:sz="0" w:space="0" w:color="auto"/>
            <w:bottom w:val="none" w:sz="0" w:space="0" w:color="auto"/>
            <w:right w:val="none" w:sz="0" w:space="0" w:color="auto"/>
          </w:divBdr>
        </w:div>
      </w:divsChild>
    </w:div>
    <w:div w:id="1890458154">
      <w:bodyDiv w:val="1"/>
      <w:marLeft w:val="0"/>
      <w:marRight w:val="0"/>
      <w:marTop w:val="0"/>
      <w:marBottom w:val="0"/>
      <w:divBdr>
        <w:top w:val="none" w:sz="0" w:space="0" w:color="auto"/>
        <w:left w:val="none" w:sz="0" w:space="0" w:color="auto"/>
        <w:bottom w:val="none" w:sz="0" w:space="0" w:color="auto"/>
        <w:right w:val="none" w:sz="0" w:space="0" w:color="auto"/>
      </w:divBdr>
    </w:div>
    <w:div w:id="1925339052">
      <w:bodyDiv w:val="1"/>
      <w:marLeft w:val="0"/>
      <w:marRight w:val="0"/>
      <w:marTop w:val="0"/>
      <w:marBottom w:val="0"/>
      <w:divBdr>
        <w:top w:val="none" w:sz="0" w:space="0" w:color="auto"/>
        <w:left w:val="none" w:sz="0" w:space="0" w:color="auto"/>
        <w:bottom w:val="none" w:sz="0" w:space="0" w:color="auto"/>
        <w:right w:val="none" w:sz="0" w:space="0" w:color="auto"/>
      </w:divBdr>
    </w:div>
    <w:div w:id="1930460087">
      <w:bodyDiv w:val="1"/>
      <w:marLeft w:val="0"/>
      <w:marRight w:val="0"/>
      <w:marTop w:val="0"/>
      <w:marBottom w:val="0"/>
      <w:divBdr>
        <w:top w:val="none" w:sz="0" w:space="0" w:color="auto"/>
        <w:left w:val="none" w:sz="0" w:space="0" w:color="auto"/>
        <w:bottom w:val="none" w:sz="0" w:space="0" w:color="auto"/>
        <w:right w:val="none" w:sz="0" w:space="0" w:color="auto"/>
      </w:divBdr>
    </w:div>
    <w:div w:id="20326072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6.xml"/><Relationship Id="rId26" Type="http://schemas.openxmlformats.org/officeDocument/2006/relationships/header" Target="header9.xml"/><Relationship Id="rId39" Type="http://schemas.openxmlformats.org/officeDocument/2006/relationships/hyperlink" Target="http://www.iesc.environment.gov.au/" TargetMode="External"/><Relationship Id="rId21" Type="http://schemas.openxmlformats.org/officeDocument/2006/relationships/hyperlink" Target="http://www.iesc.environment.gov.au/" TargetMode="External"/><Relationship Id="rId34" Type="http://schemas.openxmlformats.org/officeDocument/2006/relationships/header" Target="header14.xml"/><Relationship Id="rId42" Type="http://schemas.openxmlformats.org/officeDocument/2006/relationships/hyperlink" Target="https://www.legislation.gov.au/Series/C2007A00137" TargetMode="External"/><Relationship Id="rId47" Type="http://schemas.openxmlformats.org/officeDocument/2006/relationships/hyperlink" Target="https://data.gov.au/data/dataset/719a5433-2af0-4601-8036-a03f77199442" TargetMode="External"/><Relationship Id="rId50" Type="http://schemas.openxmlformats.org/officeDocument/2006/relationships/image" Target="media/image9.emf"/><Relationship Id="rId55" Type="http://schemas.openxmlformats.org/officeDocument/2006/relationships/hyperlink" Target="https://research.csiro.au/mgt/assessment-connective-fracturing-strata-permeability-changes-longwall-extraction/" TargetMode="External"/><Relationship Id="rId63" Type="http://schemas.openxmlformats.org/officeDocument/2006/relationships/hyperlink" Target="https://www.software.slb.com/products/eclipse" TargetMode="External"/><Relationship Id="rId68" Type="http://schemas.openxmlformats.org/officeDocument/2006/relationships/header" Target="header21.xml"/><Relationship Id="rId7" Type="http://schemas.openxmlformats.org/officeDocument/2006/relationships/settings" Target="settings.xml"/><Relationship Id="rId71"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header" Target="header4.xml"/><Relationship Id="rId29" Type="http://schemas.openxmlformats.org/officeDocument/2006/relationships/header" Target="header11.xml"/><Relationship Id="rId11" Type="http://schemas.openxmlformats.org/officeDocument/2006/relationships/header" Target="header1.xml"/><Relationship Id="rId24" Type="http://schemas.openxmlformats.org/officeDocument/2006/relationships/footer" Target="footer3.xml"/><Relationship Id="rId32" Type="http://schemas.openxmlformats.org/officeDocument/2006/relationships/footer" Target="footer6.xml"/><Relationship Id="rId37" Type="http://schemas.openxmlformats.org/officeDocument/2006/relationships/footer" Target="footer8.xml"/><Relationship Id="rId40" Type="http://schemas.openxmlformats.org/officeDocument/2006/relationships/hyperlink" Target="http://iesc.environment.gov.au/publications/information-guidelines-independent-expert-scientific-committee-advice-coal-seam-gas" TargetMode="External"/><Relationship Id="rId45" Type="http://schemas.openxmlformats.org/officeDocument/2006/relationships/image" Target="media/image7.png"/><Relationship Id="rId53" Type="http://schemas.openxmlformats.org/officeDocument/2006/relationships/header" Target="header18.xml"/><Relationship Id="rId58" Type="http://schemas.openxmlformats.org/officeDocument/2006/relationships/hyperlink" Target="https://pubs.er.usgs.gov/publication/tm6A16" TargetMode="External"/><Relationship Id="rId66" Type="http://schemas.openxmlformats.org/officeDocument/2006/relationships/header" Target="header19.xml"/><Relationship Id="rId7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eader" Target="header8.xml"/><Relationship Id="rId28" Type="http://schemas.openxmlformats.org/officeDocument/2006/relationships/header" Target="header10.xml"/><Relationship Id="rId36" Type="http://schemas.openxmlformats.org/officeDocument/2006/relationships/header" Target="header15.xml"/><Relationship Id="rId49" Type="http://schemas.openxmlformats.org/officeDocument/2006/relationships/image" Target="media/image8.png"/><Relationship Id="rId57" Type="http://schemas.openxmlformats.org/officeDocument/2006/relationships/hyperlink" Target="https://ngwa.onlinelibrary.wiley.com/doi/abs/10.1111/gwat.12922" TargetMode="External"/><Relationship Id="rId61" Type="http://schemas.openxmlformats.org/officeDocument/2006/relationships/hyperlink" Target="https://doi.org/10.1680/geot.1985.35.4.483" TargetMode="Externa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4.jpg"/><Relationship Id="rId44" Type="http://schemas.openxmlformats.org/officeDocument/2006/relationships/image" Target="media/image6.png"/><Relationship Id="rId52" Type="http://schemas.openxmlformats.org/officeDocument/2006/relationships/header" Target="header17.xml"/><Relationship Id="rId60" Type="http://schemas.openxmlformats.org/officeDocument/2006/relationships/hyperlink" Target="https://www.researchgate.net/deref/http%3A%2F%2Fdx.doi.org%2F10.1111%2Fgwat.12856" TargetMode="External"/><Relationship Id="rId65" Type="http://schemas.openxmlformats.org/officeDocument/2006/relationships/hyperlink" Target="http://unsworks.unsw.edu.au/fapi/datastream/unsworks:12891/SOURCE02?view=true" TargetMode="External"/><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eader" Target="header7.xml"/><Relationship Id="rId27" Type="http://schemas.openxmlformats.org/officeDocument/2006/relationships/footer" Target="footer5.xml"/><Relationship Id="rId30" Type="http://schemas.openxmlformats.org/officeDocument/2006/relationships/header" Target="header12.xml"/><Relationship Id="rId35" Type="http://schemas.openxmlformats.org/officeDocument/2006/relationships/footer" Target="footer7.xml"/><Relationship Id="rId43" Type="http://schemas.openxmlformats.org/officeDocument/2006/relationships/hyperlink" Target="http://www.environment.gov.au/resource/significant-impact-guidelines-13-coal-seam-gas-and-large-coal-mining-developments-impacts" TargetMode="External"/><Relationship Id="rId48" Type="http://schemas.openxmlformats.org/officeDocument/2006/relationships/hyperlink" Target="https://datasets.seed.nsw.gov.au/dataset/nsw-seamless-geology-ne-z56-bedrock-exposure" TargetMode="External"/><Relationship Id="rId56" Type="http://schemas.openxmlformats.org/officeDocument/2006/relationships/hyperlink" Target="https://doi.org/10.1016/j.jhydrol.2017.07.046" TargetMode="External"/><Relationship Id="rId64" Type="http://schemas.openxmlformats.org/officeDocument/2006/relationships/hyperlink" Target="https://doi.org/10.1002/2016WR019469" TargetMode="External"/><Relationship Id="rId69" Type="http://schemas.openxmlformats.org/officeDocument/2006/relationships/image" Target="media/image10.png"/><Relationship Id="rId8" Type="http://schemas.openxmlformats.org/officeDocument/2006/relationships/webSettings" Target="webSettings.xml"/><Relationship Id="rId51" Type="http://schemas.openxmlformats.org/officeDocument/2006/relationships/header" Target="header16.xml"/><Relationship Id="rId72" Type="http://schemas.openxmlformats.org/officeDocument/2006/relationships/image" Target="media/image13.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footer" Target="footer4.xml"/><Relationship Id="rId33" Type="http://schemas.openxmlformats.org/officeDocument/2006/relationships/header" Target="header13.xml"/><Relationship Id="rId38" Type="http://schemas.openxmlformats.org/officeDocument/2006/relationships/hyperlink" Target="https://www.bioregionalassessments.gov.au/" TargetMode="External"/><Relationship Id="rId46" Type="http://schemas.openxmlformats.org/officeDocument/2006/relationships/hyperlink" Target="http://www.ga.gov.au" TargetMode="External"/><Relationship Id="rId59" Type="http://schemas.openxmlformats.org/officeDocument/2006/relationships/hyperlink" Target="https://doi.org/10.3133/tm6A55" TargetMode="External"/><Relationship Id="rId67" Type="http://schemas.openxmlformats.org/officeDocument/2006/relationships/header" Target="header20.xml"/><Relationship Id="rId20" Type="http://schemas.openxmlformats.org/officeDocument/2006/relationships/hyperlink" Target="https://creativecommons.org/licenses/by/4.0/" TargetMode="External"/><Relationship Id="rId41" Type="http://schemas.openxmlformats.org/officeDocument/2006/relationships/hyperlink" Target="https://www.legislation.gov.au/Series/C2004A00485" TargetMode="External"/><Relationship Id="rId54" Type="http://schemas.openxmlformats.org/officeDocument/2006/relationships/hyperlink" Target="https://www.cmgl.ca/gem" TargetMode="External"/><Relationship Id="rId62" Type="http://schemas.openxmlformats.org/officeDocument/2006/relationships/hyperlink" Target="https://www.dnrme.qld.gov.au/__data/assets/pdf_file/0020/1461242/uwir-main-report.pdf" TargetMode="External"/><Relationship Id="rId7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s>
</file>

<file path=word/_rels/header19.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2" Type="http://schemas.openxmlformats.org/officeDocument/2006/relationships/image" Target="media/image4.jpg"/><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12039\AppData\Local\Microsoft\Windows\INetCache\Content.Outlook\QEMO90C9\IESC-REPORT-TEMPLATE_Jan2019.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1" ma:contentTypeDescription="Create a new document." ma:contentTypeScope="" ma:versionID="ab0819aaaccea8fe8ee2b7900102c7dd">
  <xsd:schema xmlns:xsd="http://www.w3.org/2001/XMLSchema" xmlns:xs="http://www.w3.org/2001/XMLSchema" xmlns:p="http://schemas.microsoft.com/office/2006/metadata/properties" xmlns:ns2="ac7ce04e-ea5d-4d46-bab0-39b1fa6a6f36" targetNamespace="http://schemas.microsoft.com/office/2006/metadata/properties" ma:root="true" ma:fieldsID="c9b315db8aba91f29871216a3dadc1eb" ns2:_="">
    <xsd:import namespace="ac7ce04e-ea5d-4d46-bab0-39b1fa6a6f36"/>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CDC180B-F72C-4AD8-B49E-B6EF59F95ABD}">
  <ds:schemaRefs>
    <ds:schemaRef ds:uri="http://schemas.openxmlformats.org/officeDocument/2006/bibliography"/>
  </ds:schemaRefs>
</ds:datastoreItem>
</file>

<file path=customXml/itemProps2.xml><?xml version="1.0" encoding="utf-8"?>
<ds:datastoreItem xmlns:ds="http://schemas.openxmlformats.org/officeDocument/2006/customXml" ds:itemID="{10D053B5-49A2-4499-8A30-DCAD20B4C5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7ce04e-ea5d-4d46-bab0-39b1fa6a6f3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4E5703D-2DDF-4A72-AC4A-30B2DD9EF058}">
  <ds:schemaRefs>
    <ds:schemaRef ds:uri="http://purl.org/dc/terms/"/>
    <ds:schemaRef ds:uri="http://schemas.microsoft.com/office/2006/metadata/properties"/>
    <ds:schemaRef ds:uri="http://purl.org/dc/dcmitype/"/>
    <ds:schemaRef ds:uri="http://purl.org/dc/elements/1.1/"/>
    <ds:schemaRef ds:uri="http://schemas.microsoft.com/office/2006/documentManagement/types"/>
    <ds:schemaRef ds:uri="http://schemas.microsoft.com/office/infopath/2007/PartnerControls"/>
    <ds:schemaRef ds:uri="http://schemas.openxmlformats.org/package/2006/metadata/core-properties"/>
    <ds:schemaRef ds:uri="ac7ce04e-ea5d-4d46-bab0-39b1fa6a6f36"/>
    <ds:schemaRef ds:uri="http://www.w3.org/XML/1998/namespace"/>
  </ds:schemaRefs>
</ds:datastoreItem>
</file>

<file path=customXml/itemProps4.xml><?xml version="1.0" encoding="utf-8"?>
<ds:datastoreItem xmlns:ds="http://schemas.openxmlformats.org/officeDocument/2006/customXml" ds:itemID="{B8BB5059-DB8B-46C4-9421-13612A8EE26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IESC-REPORT-TEMPLATE_Jan2019.dotx</Template>
  <TotalTime>1</TotalTime>
  <Pages>68</Pages>
  <Words>29426</Words>
  <Characters>167732</Characters>
  <Application>Microsoft Office Word</Application>
  <DocSecurity>0</DocSecurity>
  <Lines>1397</Lines>
  <Paragraphs>393</Paragraphs>
  <ScaleCrop>false</ScaleCrop>
  <HeadingPairs>
    <vt:vector size="2" baseType="variant">
      <vt:variant>
        <vt:lpstr>Title</vt:lpstr>
      </vt:variant>
      <vt:variant>
        <vt:i4>1</vt:i4>
      </vt:variant>
    </vt:vector>
  </HeadingPairs>
  <TitlesOfParts>
    <vt:vector size="1" baseType="lpstr">
      <vt:lpstr>Consultation on Characterisation and modelling of geological fault zones: IESC Information Guidelines Explanatory Note</vt:lpstr>
    </vt:vector>
  </TitlesOfParts>
  <Company/>
  <LinksUpToDate>false</LinksUpToDate>
  <CharactersWithSpaces>196765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Consultation on Characterisation and modelling of geological fault zones: IESC Information Guidelines Explanatory Note</dc:title>
  <dc:subject/>
  <dc:creator>IESC</dc:creator>
  <cp:keywords/>
  <dc:description/>
  <cp:lastModifiedBy>Bec Durack</cp:lastModifiedBy>
  <cp:revision>2</cp:revision>
  <cp:lastPrinted>2021-04-23T00:28:00Z</cp:lastPrinted>
  <dcterms:created xsi:type="dcterms:W3CDTF">2021-04-23T01:26:00Z</dcterms:created>
  <dcterms:modified xsi:type="dcterms:W3CDTF">2021-04-23T01:26:00Z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y fmtid="{D5CDD505-2E9C-101B-9397-08002B2CF9AE}" pid="3" name="RecordPoint_RecordNumberSubmitted">
    <vt:lpwstr/>
  </property>
  <property fmtid="{D5CDD505-2E9C-101B-9397-08002B2CF9AE}" pid="4" name="RecordPoint_SubmissionCompleted">
    <vt:lpwstr/>
  </property>
  <property fmtid="{D5CDD505-2E9C-101B-9397-08002B2CF9AE}" pid="5" name="RecordPoint_SubmissionDate">
    <vt:lpwstr/>
  </property>
  <property fmtid="{D5CDD505-2E9C-101B-9397-08002B2CF9AE}" pid="6" name="RecordPoint_ActiveItemMoved">
    <vt:lpwstr/>
  </property>
  <property fmtid="{D5CDD505-2E9C-101B-9397-08002B2CF9AE}" pid="7" name="RecordPoint_RecordFormat">
    <vt:lpwstr/>
  </property>
  <property fmtid="{D5CDD505-2E9C-101B-9397-08002B2CF9AE}" pid="8" name="RecordPoint_ActiveItemSiteId">
    <vt:lpwstr>{4b445ea7-761d-43d2-909a-116082cfbf41}</vt:lpwstr>
  </property>
  <property fmtid="{D5CDD505-2E9C-101B-9397-08002B2CF9AE}" pid="9" name="RecordPoint_ActiveItemListId">
    <vt:lpwstr>{0759ebec-b5a2-4905-845d-b22a5168979e}</vt:lpwstr>
  </property>
  <property fmtid="{D5CDD505-2E9C-101B-9397-08002B2CF9AE}" pid="10" name="RecordPoint_ActiveItemUniqueId">
    <vt:lpwstr>{15889c24-6009-4e75-a5cf-d87aa3c7a3e0}</vt:lpwstr>
  </property>
  <property fmtid="{D5CDD505-2E9C-101B-9397-08002B2CF9AE}" pid="11" name="RecordPoint_ActiveItemWebId">
    <vt:lpwstr>{aa3e7952-617a-4d1d-acc5-2dff72d3e0ca}</vt:lpwstr>
  </property>
  <property fmtid="{D5CDD505-2E9C-101B-9397-08002B2CF9AE}" pid="12" name="RecordPoint_WorkflowType">
    <vt:lpwstr>ActiveSubmitStub</vt:lpwstr>
  </property>
</Properties>
</file>